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E9DA0" w14:textId="37A9F71F" w:rsidR="00175512" w:rsidRPr="00455D06" w:rsidRDefault="00455D06" w:rsidP="00994150">
      <w:pPr>
        <w:pStyle w:val="BodyText"/>
        <w:ind w:right="360"/>
        <w:jc w:val="center"/>
        <w:rPr>
          <w:rFonts w:asciiTheme="majorHAnsi" w:hAnsiTheme="majorHAnsi"/>
          <w:b/>
          <w:szCs w:val="24"/>
        </w:rPr>
      </w:pPr>
      <w:bookmarkStart w:id="0" w:name="_GoBack"/>
      <w:bookmarkEnd w:id="0"/>
      <w:r w:rsidRPr="00455D06">
        <w:rPr>
          <w:rFonts w:asciiTheme="majorHAnsi" w:hAnsiTheme="majorHAnsi"/>
          <w:b/>
          <w:szCs w:val="24"/>
        </w:rPr>
        <w:t>HOW MCKINLEY’S</w:t>
      </w:r>
      <w:r w:rsidR="000963A8" w:rsidRPr="00455D06">
        <w:rPr>
          <w:rFonts w:asciiTheme="majorHAnsi" w:hAnsiTheme="majorHAnsi"/>
          <w:b/>
          <w:szCs w:val="24"/>
        </w:rPr>
        <w:t xml:space="preserve"> </w:t>
      </w:r>
      <w:r w:rsidR="00800E45">
        <w:rPr>
          <w:rFonts w:asciiTheme="majorHAnsi" w:hAnsiTheme="majorHAnsi"/>
          <w:b/>
          <w:szCs w:val="24"/>
        </w:rPr>
        <w:t>HR</w:t>
      </w:r>
      <w:r w:rsidR="00994150" w:rsidRPr="00455D06">
        <w:rPr>
          <w:rFonts w:asciiTheme="majorHAnsi" w:hAnsiTheme="majorHAnsi"/>
          <w:b/>
          <w:szCs w:val="24"/>
        </w:rPr>
        <w:t xml:space="preserve"> 1734 FALLS FAR SHORT OF THE EPA</w:t>
      </w:r>
      <w:r w:rsidR="00B96256">
        <w:rPr>
          <w:rFonts w:asciiTheme="majorHAnsi" w:hAnsiTheme="majorHAnsi"/>
          <w:b/>
          <w:szCs w:val="24"/>
        </w:rPr>
        <w:t>’S</w:t>
      </w:r>
      <w:r w:rsidR="00994150" w:rsidRPr="00455D06">
        <w:rPr>
          <w:rFonts w:asciiTheme="majorHAnsi" w:hAnsiTheme="majorHAnsi"/>
          <w:b/>
          <w:szCs w:val="24"/>
        </w:rPr>
        <w:t xml:space="preserve"> CCR RULE </w:t>
      </w:r>
    </w:p>
    <w:p w14:paraId="58C52DB9" w14:textId="6242C0BF" w:rsidR="000E23EE" w:rsidRPr="00B96256" w:rsidRDefault="00994150" w:rsidP="00455D06">
      <w:pPr>
        <w:pStyle w:val="BodyText"/>
        <w:ind w:right="360"/>
        <w:jc w:val="center"/>
        <w:rPr>
          <w:rFonts w:asciiTheme="majorHAnsi" w:hAnsiTheme="majorHAnsi"/>
          <w:b/>
          <w:i/>
          <w:szCs w:val="24"/>
        </w:rPr>
      </w:pPr>
      <w:r w:rsidRPr="00B96256">
        <w:rPr>
          <w:rFonts w:asciiTheme="majorHAnsi" w:hAnsiTheme="majorHAnsi"/>
          <w:b/>
          <w:i/>
          <w:szCs w:val="24"/>
        </w:rPr>
        <w:t>Comparison of</w:t>
      </w:r>
      <w:r w:rsidR="00455D06" w:rsidRPr="00B96256">
        <w:rPr>
          <w:rFonts w:asciiTheme="majorHAnsi" w:hAnsiTheme="majorHAnsi"/>
          <w:b/>
          <w:i/>
          <w:szCs w:val="24"/>
        </w:rPr>
        <w:t xml:space="preserve"> the</w:t>
      </w:r>
      <w:r w:rsidRPr="00B96256">
        <w:rPr>
          <w:rFonts w:asciiTheme="majorHAnsi" w:hAnsiTheme="majorHAnsi"/>
          <w:b/>
          <w:i/>
          <w:szCs w:val="24"/>
        </w:rPr>
        <w:t xml:space="preserve"> Key</w:t>
      </w:r>
      <w:r w:rsidR="000963A8" w:rsidRPr="00B96256">
        <w:rPr>
          <w:rFonts w:asciiTheme="majorHAnsi" w:hAnsiTheme="majorHAnsi"/>
          <w:b/>
          <w:i/>
          <w:szCs w:val="24"/>
        </w:rPr>
        <w:t xml:space="preserve"> Health and Environmental Protections in </w:t>
      </w:r>
      <w:r w:rsidR="00B96256" w:rsidRPr="00B96256">
        <w:rPr>
          <w:rFonts w:asciiTheme="majorHAnsi" w:hAnsiTheme="majorHAnsi"/>
          <w:b/>
          <w:i/>
          <w:szCs w:val="24"/>
        </w:rPr>
        <w:t>EPA’s</w:t>
      </w:r>
      <w:r w:rsidRPr="00B96256">
        <w:rPr>
          <w:rFonts w:asciiTheme="majorHAnsi" w:hAnsiTheme="majorHAnsi"/>
          <w:b/>
          <w:i/>
          <w:szCs w:val="24"/>
        </w:rPr>
        <w:t xml:space="preserve"> Rule </w:t>
      </w:r>
      <w:proofErr w:type="spellStart"/>
      <w:r w:rsidR="00B96256" w:rsidRPr="00B96256">
        <w:rPr>
          <w:rFonts w:asciiTheme="majorHAnsi" w:hAnsiTheme="majorHAnsi"/>
          <w:b/>
          <w:i/>
          <w:szCs w:val="24"/>
        </w:rPr>
        <w:t>vs</w:t>
      </w:r>
      <w:proofErr w:type="spellEnd"/>
      <w:r w:rsidR="00800E45" w:rsidRPr="00B96256">
        <w:rPr>
          <w:rFonts w:asciiTheme="majorHAnsi" w:hAnsiTheme="majorHAnsi"/>
          <w:b/>
          <w:i/>
          <w:szCs w:val="24"/>
        </w:rPr>
        <w:t xml:space="preserve"> HR 1734</w:t>
      </w:r>
    </w:p>
    <w:p w14:paraId="7E01D380" w14:textId="77777777" w:rsidR="00455D06" w:rsidRPr="00455D06" w:rsidRDefault="00455D06" w:rsidP="00455D06">
      <w:pPr>
        <w:pStyle w:val="BodyText"/>
        <w:ind w:right="360"/>
        <w:jc w:val="center"/>
        <w:rPr>
          <w:rFonts w:asciiTheme="majorHAnsi" w:hAnsiTheme="majorHAnsi"/>
          <w:i/>
          <w:szCs w:val="24"/>
        </w:rPr>
      </w:pPr>
    </w:p>
    <w:p w14:paraId="57C9E976" w14:textId="0C1C1CC8" w:rsidR="00770D5F" w:rsidRDefault="00455D06" w:rsidP="00455D06">
      <w:pPr>
        <w:pStyle w:val="BodyText"/>
        <w:ind w:right="360"/>
        <w:rPr>
          <w:rFonts w:asciiTheme="majorHAnsi" w:hAnsiTheme="majorHAnsi"/>
          <w:szCs w:val="24"/>
        </w:rPr>
      </w:pPr>
      <w:r>
        <w:rPr>
          <w:rFonts w:asciiTheme="majorHAnsi" w:hAnsiTheme="majorHAnsi"/>
          <w:szCs w:val="24"/>
        </w:rPr>
        <w:t>The EPA</w:t>
      </w:r>
      <w:r w:rsidR="000963A8">
        <w:rPr>
          <w:rFonts w:asciiTheme="majorHAnsi" w:hAnsiTheme="majorHAnsi"/>
          <w:szCs w:val="24"/>
        </w:rPr>
        <w:t xml:space="preserve"> Rule’s r</w:t>
      </w:r>
      <w:r w:rsidR="00994150" w:rsidRPr="00994150">
        <w:rPr>
          <w:rFonts w:asciiTheme="majorHAnsi" w:hAnsiTheme="majorHAnsi"/>
          <w:szCs w:val="24"/>
        </w:rPr>
        <w:t>equirements for public disclo</w:t>
      </w:r>
      <w:r w:rsidR="00994150">
        <w:rPr>
          <w:rFonts w:asciiTheme="majorHAnsi" w:hAnsiTheme="majorHAnsi"/>
          <w:szCs w:val="24"/>
        </w:rPr>
        <w:t xml:space="preserve">sure, </w:t>
      </w:r>
      <w:r w:rsidR="00994150" w:rsidRPr="00994150">
        <w:rPr>
          <w:rFonts w:asciiTheme="majorHAnsi" w:hAnsiTheme="majorHAnsi"/>
          <w:szCs w:val="24"/>
        </w:rPr>
        <w:t>monitoring, structural stability, cleanup</w:t>
      </w:r>
      <w:r w:rsidR="00994150">
        <w:rPr>
          <w:rFonts w:asciiTheme="majorHAnsi" w:hAnsiTheme="majorHAnsi"/>
          <w:szCs w:val="24"/>
        </w:rPr>
        <w:t xml:space="preserve">, spill response, and closure of dangerous ponds and landfills differ substantially </w:t>
      </w:r>
      <w:r w:rsidR="000963A8">
        <w:rPr>
          <w:rFonts w:asciiTheme="majorHAnsi" w:hAnsiTheme="majorHAnsi"/>
          <w:szCs w:val="24"/>
        </w:rPr>
        <w:t>from th</w:t>
      </w:r>
      <w:r>
        <w:rPr>
          <w:rFonts w:asciiTheme="majorHAnsi" w:hAnsiTheme="majorHAnsi"/>
          <w:szCs w:val="24"/>
        </w:rPr>
        <w:t>ose in McKinley’s coal ash bill (</w:t>
      </w:r>
      <w:r w:rsidR="00800E45">
        <w:rPr>
          <w:rFonts w:asciiTheme="majorHAnsi" w:hAnsiTheme="majorHAnsi"/>
          <w:szCs w:val="24"/>
        </w:rPr>
        <w:t>HR</w:t>
      </w:r>
      <w:r w:rsidR="000963A8">
        <w:rPr>
          <w:rFonts w:asciiTheme="majorHAnsi" w:hAnsiTheme="majorHAnsi"/>
          <w:szCs w:val="24"/>
        </w:rPr>
        <w:t xml:space="preserve"> 1734</w:t>
      </w:r>
      <w:r w:rsidR="00800E45">
        <w:rPr>
          <w:rFonts w:asciiTheme="majorHAnsi" w:hAnsiTheme="majorHAnsi"/>
          <w:szCs w:val="24"/>
        </w:rPr>
        <w:t>). HR</w:t>
      </w:r>
      <w:r>
        <w:rPr>
          <w:rFonts w:asciiTheme="majorHAnsi" w:hAnsiTheme="majorHAnsi"/>
          <w:szCs w:val="24"/>
        </w:rPr>
        <w:t xml:space="preserve"> 1734 fails to</w:t>
      </w:r>
      <w:r w:rsidR="000963A8">
        <w:rPr>
          <w:rFonts w:asciiTheme="majorHAnsi" w:hAnsiTheme="majorHAnsi"/>
          <w:szCs w:val="24"/>
        </w:rPr>
        <w:t xml:space="preserve"> incorporate all the requirements of the EPA rule</w:t>
      </w:r>
      <w:r>
        <w:rPr>
          <w:rFonts w:asciiTheme="majorHAnsi" w:hAnsiTheme="majorHAnsi"/>
          <w:szCs w:val="24"/>
        </w:rPr>
        <w:t>,</w:t>
      </w:r>
      <w:r w:rsidR="000963A8">
        <w:rPr>
          <w:rFonts w:asciiTheme="majorHAnsi" w:hAnsiTheme="majorHAnsi"/>
          <w:szCs w:val="24"/>
        </w:rPr>
        <w:t xml:space="preserve"> and </w:t>
      </w:r>
      <w:r>
        <w:rPr>
          <w:rFonts w:asciiTheme="majorHAnsi" w:hAnsiTheme="majorHAnsi"/>
          <w:szCs w:val="24"/>
        </w:rPr>
        <w:t xml:space="preserve">it </w:t>
      </w:r>
      <w:r w:rsidR="000963A8">
        <w:rPr>
          <w:rFonts w:asciiTheme="majorHAnsi" w:hAnsiTheme="majorHAnsi"/>
          <w:szCs w:val="24"/>
        </w:rPr>
        <w:t xml:space="preserve">gives great latitude to states to </w:t>
      </w:r>
      <w:r w:rsidR="000E23EE">
        <w:rPr>
          <w:rFonts w:asciiTheme="majorHAnsi" w:hAnsiTheme="majorHAnsi"/>
          <w:szCs w:val="24"/>
        </w:rPr>
        <w:t>alter the</w:t>
      </w:r>
      <w:r>
        <w:rPr>
          <w:rFonts w:asciiTheme="majorHAnsi" w:hAnsiTheme="majorHAnsi"/>
          <w:szCs w:val="24"/>
        </w:rPr>
        <w:t xml:space="preserve"> EPA rule’s</w:t>
      </w:r>
      <w:r w:rsidR="000E23EE">
        <w:rPr>
          <w:rFonts w:asciiTheme="majorHAnsi" w:hAnsiTheme="majorHAnsi"/>
          <w:szCs w:val="24"/>
        </w:rPr>
        <w:t xml:space="preserve"> requirements</w:t>
      </w:r>
      <w:r>
        <w:rPr>
          <w:rFonts w:asciiTheme="majorHAnsi" w:hAnsiTheme="majorHAnsi"/>
          <w:szCs w:val="24"/>
        </w:rPr>
        <w:t>. Consequently</w:t>
      </w:r>
      <w:r w:rsidR="000E23EE">
        <w:rPr>
          <w:rFonts w:asciiTheme="majorHAnsi" w:hAnsiTheme="majorHAnsi"/>
          <w:szCs w:val="24"/>
        </w:rPr>
        <w:t xml:space="preserve"> </w:t>
      </w:r>
      <w:r w:rsidR="00800E45">
        <w:rPr>
          <w:rFonts w:asciiTheme="majorHAnsi" w:hAnsiTheme="majorHAnsi"/>
          <w:szCs w:val="24"/>
        </w:rPr>
        <w:t>HR</w:t>
      </w:r>
      <w:r w:rsidR="000963A8">
        <w:rPr>
          <w:rFonts w:asciiTheme="majorHAnsi" w:hAnsiTheme="majorHAnsi"/>
          <w:szCs w:val="24"/>
        </w:rPr>
        <w:t xml:space="preserve"> 1734 cannot guarantee public safety nor can it guarantee that citizens near coal ash dumps </w:t>
      </w:r>
      <w:r w:rsidR="000E23EE">
        <w:rPr>
          <w:rFonts w:asciiTheme="majorHAnsi" w:hAnsiTheme="majorHAnsi"/>
          <w:szCs w:val="24"/>
        </w:rPr>
        <w:t xml:space="preserve">are informed </w:t>
      </w:r>
      <w:r w:rsidR="000963A8">
        <w:rPr>
          <w:rFonts w:asciiTheme="majorHAnsi" w:hAnsiTheme="majorHAnsi"/>
          <w:szCs w:val="24"/>
        </w:rPr>
        <w:t xml:space="preserve">of </w:t>
      </w:r>
      <w:r w:rsidR="00800E45">
        <w:rPr>
          <w:rFonts w:asciiTheme="majorHAnsi" w:hAnsiTheme="majorHAnsi"/>
          <w:szCs w:val="24"/>
        </w:rPr>
        <w:t xml:space="preserve">drinking </w:t>
      </w:r>
      <w:r w:rsidR="000963A8">
        <w:rPr>
          <w:rFonts w:asciiTheme="majorHAnsi" w:hAnsiTheme="majorHAnsi"/>
          <w:szCs w:val="24"/>
        </w:rPr>
        <w:t>water contaminatio</w:t>
      </w:r>
      <w:r>
        <w:rPr>
          <w:rFonts w:asciiTheme="majorHAnsi" w:hAnsiTheme="majorHAnsi"/>
          <w:szCs w:val="24"/>
        </w:rPr>
        <w:t>n or dam safety problems</w:t>
      </w:r>
      <w:r w:rsidR="000963A8">
        <w:rPr>
          <w:rFonts w:asciiTheme="majorHAnsi" w:hAnsiTheme="majorHAnsi"/>
          <w:szCs w:val="24"/>
        </w:rPr>
        <w:t>.</w:t>
      </w:r>
    </w:p>
    <w:p w14:paraId="216DBFEE" w14:textId="77777777" w:rsidR="000963A8" w:rsidRPr="000963A8" w:rsidRDefault="000963A8" w:rsidP="000963A8">
      <w:pPr>
        <w:pStyle w:val="BodyText"/>
        <w:ind w:right="360"/>
        <w:rPr>
          <w:rFonts w:asciiTheme="majorHAnsi" w:hAnsiTheme="majorHAnsi"/>
          <w:szCs w:val="24"/>
        </w:rPr>
      </w:pPr>
    </w:p>
    <w:tbl>
      <w:tblPr>
        <w:tblStyle w:val="TableGrid"/>
        <w:tblpPr w:leftFromText="180" w:rightFromText="180" w:vertAnchor="text" w:tblpY="1"/>
        <w:tblOverlap w:val="never"/>
        <w:tblW w:w="9468" w:type="dxa"/>
        <w:tblLook w:val="04A0" w:firstRow="1" w:lastRow="0" w:firstColumn="1" w:lastColumn="0" w:noHBand="0" w:noVBand="1"/>
      </w:tblPr>
      <w:tblGrid>
        <w:gridCol w:w="2575"/>
        <w:gridCol w:w="3113"/>
        <w:gridCol w:w="3780"/>
      </w:tblGrid>
      <w:tr w:rsidR="00175512" w:rsidRPr="00FB0470" w14:paraId="43E98EFD" w14:textId="77777777" w:rsidTr="000E23EE">
        <w:tc>
          <w:tcPr>
            <w:tcW w:w="0" w:type="auto"/>
          </w:tcPr>
          <w:p w14:paraId="6AB1E6C7" w14:textId="53B3C45B" w:rsidR="00175512" w:rsidRPr="00FB0470" w:rsidRDefault="00455D06" w:rsidP="000E23EE">
            <w:pPr>
              <w:rPr>
                <w:rFonts w:asciiTheme="majorHAnsi" w:hAnsiTheme="majorHAnsi"/>
                <w:b/>
                <w:sz w:val="22"/>
                <w:szCs w:val="22"/>
              </w:rPr>
            </w:pPr>
            <w:r>
              <w:rPr>
                <w:rFonts w:asciiTheme="majorHAnsi" w:hAnsiTheme="majorHAnsi"/>
                <w:b/>
                <w:sz w:val="22"/>
                <w:szCs w:val="22"/>
              </w:rPr>
              <w:t xml:space="preserve">KEY </w:t>
            </w:r>
            <w:r w:rsidR="00481A61" w:rsidRPr="00FB0470">
              <w:rPr>
                <w:rFonts w:asciiTheme="majorHAnsi" w:hAnsiTheme="majorHAnsi"/>
                <w:b/>
                <w:sz w:val="22"/>
                <w:szCs w:val="22"/>
              </w:rPr>
              <w:t>REQUIREMENT</w:t>
            </w:r>
          </w:p>
        </w:tc>
        <w:tc>
          <w:tcPr>
            <w:tcW w:w="3113" w:type="dxa"/>
          </w:tcPr>
          <w:p w14:paraId="45EF5076" w14:textId="77777777" w:rsidR="00175512" w:rsidRPr="00FB0470" w:rsidRDefault="00481A61" w:rsidP="000E23EE">
            <w:pPr>
              <w:rPr>
                <w:rFonts w:asciiTheme="majorHAnsi" w:hAnsiTheme="majorHAnsi"/>
                <w:b/>
                <w:sz w:val="22"/>
                <w:szCs w:val="22"/>
              </w:rPr>
            </w:pPr>
            <w:r w:rsidRPr="00FB0470">
              <w:rPr>
                <w:rFonts w:asciiTheme="majorHAnsi" w:hAnsiTheme="majorHAnsi"/>
                <w:b/>
                <w:sz w:val="22"/>
                <w:szCs w:val="22"/>
              </w:rPr>
              <w:t>EPA CCR RULE</w:t>
            </w:r>
          </w:p>
        </w:tc>
        <w:tc>
          <w:tcPr>
            <w:tcW w:w="3780" w:type="dxa"/>
          </w:tcPr>
          <w:p w14:paraId="08EE957D" w14:textId="1C9C6419" w:rsidR="00175512" w:rsidRPr="00FB0470" w:rsidRDefault="000E23EE" w:rsidP="000E23EE">
            <w:pPr>
              <w:rPr>
                <w:rFonts w:asciiTheme="majorHAnsi" w:hAnsiTheme="majorHAnsi"/>
                <w:b/>
                <w:sz w:val="22"/>
                <w:szCs w:val="22"/>
              </w:rPr>
            </w:pPr>
            <w:r>
              <w:rPr>
                <w:rFonts w:asciiTheme="majorHAnsi" w:hAnsiTheme="majorHAnsi"/>
                <w:b/>
                <w:sz w:val="22"/>
                <w:szCs w:val="22"/>
              </w:rPr>
              <w:t xml:space="preserve">MCKINLEY’S </w:t>
            </w:r>
            <w:r w:rsidR="00FB0470">
              <w:rPr>
                <w:rFonts w:asciiTheme="majorHAnsi" w:hAnsiTheme="majorHAnsi"/>
                <w:b/>
                <w:sz w:val="22"/>
                <w:szCs w:val="22"/>
              </w:rPr>
              <w:t>HR 1734</w:t>
            </w:r>
          </w:p>
        </w:tc>
      </w:tr>
      <w:tr w:rsidR="00175512" w:rsidRPr="00FB0470" w14:paraId="75CCD3D6" w14:textId="77777777" w:rsidTr="000E23EE">
        <w:tc>
          <w:tcPr>
            <w:tcW w:w="0" w:type="auto"/>
          </w:tcPr>
          <w:p w14:paraId="721F4AB0" w14:textId="52370E9B" w:rsidR="00175512" w:rsidRPr="00FB0470" w:rsidRDefault="00800E45" w:rsidP="000E23EE">
            <w:pPr>
              <w:rPr>
                <w:rFonts w:asciiTheme="majorHAnsi" w:hAnsiTheme="majorHAnsi"/>
                <w:b/>
                <w:sz w:val="22"/>
                <w:szCs w:val="22"/>
              </w:rPr>
            </w:pPr>
            <w:r>
              <w:rPr>
                <w:rFonts w:asciiTheme="majorHAnsi" w:hAnsiTheme="majorHAnsi"/>
                <w:b/>
                <w:sz w:val="22"/>
                <w:szCs w:val="22"/>
              </w:rPr>
              <w:t>Federal standard to</w:t>
            </w:r>
            <w:r w:rsidR="00C8529D">
              <w:rPr>
                <w:rFonts w:asciiTheme="majorHAnsi" w:hAnsiTheme="majorHAnsi"/>
                <w:b/>
                <w:sz w:val="22"/>
                <w:szCs w:val="22"/>
              </w:rPr>
              <w:t xml:space="preserve"> p</w:t>
            </w:r>
            <w:r>
              <w:rPr>
                <w:rFonts w:asciiTheme="majorHAnsi" w:hAnsiTheme="majorHAnsi"/>
                <w:b/>
                <w:sz w:val="22"/>
                <w:szCs w:val="22"/>
              </w:rPr>
              <w:t>rotect human</w:t>
            </w:r>
            <w:r w:rsidR="00C8529D">
              <w:rPr>
                <w:rFonts w:asciiTheme="majorHAnsi" w:hAnsiTheme="majorHAnsi"/>
                <w:b/>
                <w:sz w:val="22"/>
                <w:szCs w:val="22"/>
              </w:rPr>
              <w:t xml:space="preserve"> health and e</w:t>
            </w:r>
            <w:r w:rsidR="00770D5F">
              <w:rPr>
                <w:rFonts w:asciiTheme="majorHAnsi" w:hAnsiTheme="majorHAnsi"/>
                <w:b/>
                <w:sz w:val="22"/>
                <w:szCs w:val="22"/>
              </w:rPr>
              <w:t>nvironment</w:t>
            </w:r>
          </w:p>
        </w:tc>
        <w:tc>
          <w:tcPr>
            <w:tcW w:w="3113" w:type="dxa"/>
          </w:tcPr>
          <w:p w14:paraId="3581266B" w14:textId="3F0F69A6" w:rsidR="00175512" w:rsidRPr="00FB0470" w:rsidRDefault="00770D5F" w:rsidP="000E23EE">
            <w:pPr>
              <w:rPr>
                <w:rFonts w:asciiTheme="majorHAnsi" w:hAnsiTheme="majorHAnsi"/>
                <w:sz w:val="22"/>
                <w:szCs w:val="22"/>
              </w:rPr>
            </w:pPr>
            <w:r w:rsidRPr="00B96256">
              <w:rPr>
                <w:rFonts w:asciiTheme="majorHAnsi" w:hAnsiTheme="majorHAnsi"/>
                <w:sz w:val="22"/>
                <w:szCs w:val="22"/>
                <w:u w:val="single"/>
              </w:rPr>
              <w:t>YES.</w:t>
            </w:r>
            <w:r>
              <w:rPr>
                <w:rFonts w:asciiTheme="majorHAnsi" w:hAnsiTheme="majorHAnsi"/>
                <w:sz w:val="22"/>
                <w:szCs w:val="22"/>
              </w:rPr>
              <w:t xml:space="preserve"> </w:t>
            </w:r>
            <w:r w:rsidR="00481A61" w:rsidRPr="00FB0470">
              <w:rPr>
                <w:rFonts w:asciiTheme="majorHAnsi" w:hAnsiTheme="majorHAnsi"/>
                <w:sz w:val="22"/>
                <w:szCs w:val="22"/>
              </w:rPr>
              <w:t xml:space="preserve">The rule ensures “no reasonable probability of adverse effects on health or the environment.” </w:t>
            </w:r>
          </w:p>
          <w:p w14:paraId="713FE376" w14:textId="6C9E91EB" w:rsidR="00175512" w:rsidRPr="00FB0470" w:rsidRDefault="00481A61" w:rsidP="000E23EE">
            <w:pPr>
              <w:rPr>
                <w:rFonts w:asciiTheme="majorHAnsi" w:hAnsiTheme="majorHAnsi"/>
                <w:sz w:val="22"/>
                <w:szCs w:val="22"/>
              </w:rPr>
            </w:pPr>
            <w:r w:rsidRPr="00FB0470">
              <w:rPr>
                <w:rFonts w:asciiTheme="majorHAnsi" w:hAnsiTheme="majorHAnsi"/>
                <w:sz w:val="22"/>
                <w:szCs w:val="22"/>
              </w:rPr>
              <w:t>RCRA §4004(a)</w:t>
            </w:r>
          </w:p>
        </w:tc>
        <w:tc>
          <w:tcPr>
            <w:tcW w:w="3780" w:type="dxa"/>
          </w:tcPr>
          <w:p w14:paraId="3B06252C" w14:textId="02F447A1" w:rsidR="00175512" w:rsidRPr="00FB0470" w:rsidRDefault="00B96256" w:rsidP="000E23EE">
            <w:pPr>
              <w:rPr>
                <w:rFonts w:asciiTheme="majorHAnsi" w:hAnsiTheme="majorHAnsi"/>
                <w:sz w:val="22"/>
                <w:szCs w:val="22"/>
              </w:rPr>
            </w:pPr>
            <w:r>
              <w:rPr>
                <w:rFonts w:asciiTheme="majorHAnsi" w:hAnsiTheme="majorHAnsi"/>
                <w:sz w:val="22"/>
                <w:szCs w:val="22"/>
                <w:u w:val="single"/>
              </w:rPr>
              <w:t>NO</w:t>
            </w:r>
            <w:r w:rsidR="00481A61" w:rsidRPr="00FB0470">
              <w:rPr>
                <w:rFonts w:asciiTheme="majorHAnsi" w:hAnsiTheme="majorHAnsi"/>
                <w:sz w:val="22"/>
                <w:szCs w:val="22"/>
              </w:rPr>
              <w:t xml:space="preserve">.  </w:t>
            </w:r>
            <w:r>
              <w:rPr>
                <w:rFonts w:asciiTheme="majorHAnsi" w:hAnsiTheme="majorHAnsi"/>
                <w:sz w:val="22"/>
                <w:szCs w:val="22"/>
              </w:rPr>
              <w:t>There is n</w:t>
            </w:r>
            <w:r w:rsidR="00481A61" w:rsidRPr="00FB0470">
              <w:rPr>
                <w:rFonts w:asciiTheme="majorHAnsi" w:hAnsiTheme="majorHAnsi"/>
                <w:sz w:val="22"/>
                <w:szCs w:val="22"/>
              </w:rPr>
              <w:t>o stan</w:t>
            </w:r>
            <w:r w:rsidR="00FB0470">
              <w:rPr>
                <w:rFonts w:asciiTheme="majorHAnsi" w:hAnsiTheme="majorHAnsi"/>
                <w:sz w:val="22"/>
                <w:szCs w:val="22"/>
              </w:rPr>
              <w:t xml:space="preserve">dard of protection to which </w:t>
            </w:r>
            <w:r>
              <w:rPr>
                <w:rFonts w:asciiTheme="majorHAnsi" w:hAnsiTheme="majorHAnsi"/>
                <w:sz w:val="22"/>
                <w:szCs w:val="22"/>
              </w:rPr>
              <w:t xml:space="preserve">state </w:t>
            </w:r>
            <w:r w:rsidR="00FB0470">
              <w:rPr>
                <w:rFonts w:asciiTheme="majorHAnsi" w:hAnsiTheme="majorHAnsi"/>
                <w:sz w:val="22"/>
                <w:szCs w:val="22"/>
              </w:rPr>
              <w:t xml:space="preserve">permits, rules, or </w:t>
            </w:r>
            <w:r w:rsidR="00481A61" w:rsidRPr="00FB0470">
              <w:rPr>
                <w:rFonts w:asciiTheme="majorHAnsi" w:hAnsiTheme="majorHAnsi"/>
                <w:sz w:val="22"/>
                <w:szCs w:val="22"/>
              </w:rPr>
              <w:t>ac</w:t>
            </w:r>
            <w:r w:rsidR="00FB0470">
              <w:rPr>
                <w:rFonts w:asciiTheme="majorHAnsi" w:hAnsiTheme="majorHAnsi"/>
                <w:sz w:val="22"/>
                <w:szCs w:val="22"/>
              </w:rPr>
              <w:t xml:space="preserve">tions of the  </w:t>
            </w:r>
            <w:r w:rsidR="00481A61" w:rsidRPr="00FB0470">
              <w:rPr>
                <w:rFonts w:asciiTheme="majorHAnsi" w:hAnsiTheme="majorHAnsi"/>
                <w:sz w:val="22"/>
                <w:szCs w:val="22"/>
              </w:rPr>
              <w:t>must conform.</w:t>
            </w:r>
          </w:p>
        </w:tc>
      </w:tr>
      <w:tr w:rsidR="00175512" w:rsidRPr="00FB0470" w14:paraId="4D149CAB" w14:textId="77777777" w:rsidTr="000E23EE">
        <w:tc>
          <w:tcPr>
            <w:tcW w:w="0" w:type="auto"/>
          </w:tcPr>
          <w:p w14:paraId="4DE7A430" w14:textId="79538757" w:rsidR="00175512" w:rsidRPr="00FB0470" w:rsidRDefault="00800E45" w:rsidP="000E23EE">
            <w:pPr>
              <w:rPr>
                <w:rFonts w:asciiTheme="majorHAnsi" w:hAnsiTheme="majorHAnsi"/>
                <w:b/>
                <w:sz w:val="22"/>
                <w:szCs w:val="22"/>
              </w:rPr>
            </w:pPr>
            <w:r>
              <w:rPr>
                <w:rFonts w:asciiTheme="majorHAnsi" w:hAnsiTheme="majorHAnsi"/>
                <w:b/>
                <w:sz w:val="22"/>
                <w:szCs w:val="22"/>
              </w:rPr>
              <w:t>Robust p</w:t>
            </w:r>
            <w:r w:rsidR="00C8529D">
              <w:rPr>
                <w:rFonts w:asciiTheme="majorHAnsi" w:hAnsiTheme="majorHAnsi"/>
                <w:b/>
                <w:sz w:val="22"/>
                <w:szCs w:val="22"/>
              </w:rPr>
              <w:t>ublic d</w:t>
            </w:r>
            <w:r w:rsidR="00481A61" w:rsidRPr="00FB0470">
              <w:rPr>
                <w:rFonts w:asciiTheme="majorHAnsi" w:hAnsiTheme="majorHAnsi"/>
                <w:b/>
                <w:sz w:val="22"/>
                <w:szCs w:val="22"/>
              </w:rPr>
              <w:t>isclosure of Information</w:t>
            </w:r>
          </w:p>
        </w:tc>
        <w:tc>
          <w:tcPr>
            <w:tcW w:w="3113" w:type="dxa"/>
          </w:tcPr>
          <w:p w14:paraId="2DDC43A0" w14:textId="77777777" w:rsidR="00B96256" w:rsidRDefault="00770D5F" w:rsidP="000E23EE">
            <w:pPr>
              <w:rPr>
                <w:rFonts w:asciiTheme="majorHAnsi" w:hAnsiTheme="majorHAnsi"/>
                <w:sz w:val="22"/>
                <w:szCs w:val="22"/>
              </w:rPr>
            </w:pPr>
            <w:r w:rsidRPr="00B96256">
              <w:rPr>
                <w:rFonts w:asciiTheme="majorHAnsi" w:hAnsiTheme="majorHAnsi"/>
                <w:sz w:val="22"/>
                <w:szCs w:val="22"/>
                <w:u w:val="single"/>
              </w:rPr>
              <w:t>YES</w:t>
            </w:r>
            <w:r>
              <w:rPr>
                <w:rFonts w:asciiTheme="majorHAnsi" w:hAnsiTheme="majorHAnsi"/>
                <w:sz w:val="22"/>
                <w:szCs w:val="22"/>
              </w:rPr>
              <w:t xml:space="preserve">. </w:t>
            </w:r>
            <w:r w:rsidR="00481A61" w:rsidRPr="00FB0470">
              <w:rPr>
                <w:rFonts w:asciiTheme="majorHAnsi" w:hAnsiTheme="majorHAnsi"/>
                <w:sz w:val="22"/>
                <w:szCs w:val="22"/>
              </w:rPr>
              <w:t>Rule requires p</w:t>
            </w:r>
            <w:r w:rsidR="00FB0470">
              <w:rPr>
                <w:rFonts w:asciiTheme="majorHAnsi" w:hAnsiTheme="majorHAnsi"/>
                <w:sz w:val="22"/>
                <w:szCs w:val="22"/>
              </w:rPr>
              <w:t>osting (starting Oct 2015</w:t>
            </w:r>
            <w:r w:rsidR="00481A61" w:rsidRPr="00FB0470">
              <w:rPr>
                <w:rFonts w:asciiTheme="majorHAnsi" w:hAnsiTheme="majorHAnsi"/>
                <w:sz w:val="22"/>
                <w:szCs w:val="22"/>
              </w:rPr>
              <w:t xml:space="preserve">) </w:t>
            </w:r>
            <w:r w:rsidR="00B96256">
              <w:rPr>
                <w:rFonts w:asciiTheme="majorHAnsi" w:hAnsiTheme="majorHAnsi"/>
                <w:sz w:val="22"/>
                <w:szCs w:val="22"/>
              </w:rPr>
              <w:t xml:space="preserve">on a publicly accessible website </w:t>
            </w:r>
            <w:r w:rsidR="00481A61" w:rsidRPr="00FB0470">
              <w:rPr>
                <w:rFonts w:asciiTheme="majorHAnsi" w:hAnsiTheme="majorHAnsi"/>
                <w:sz w:val="22"/>
                <w:szCs w:val="22"/>
              </w:rPr>
              <w:t xml:space="preserve">of ground-water monitoring data, cleanup plans, inspections, structural </w:t>
            </w:r>
            <w:r w:rsidR="00B96256">
              <w:rPr>
                <w:rFonts w:asciiTheme="majorHAnsi" w:hAnsiTheme="majorHAnsi"/>
                <w:sz w:val="22"/>
                <w:szCs w:val="22"/>
              </w:rPr>
              <w:t>stability assessments, etc</w:t>
            </w:r>
            <w:r w:rsidR="00481A61" w:rsidRPr="00FB0470">
              <w:rPr>
                <w:rFonts w:asciiTheme="majorHAnsi" w:hAnsiTheme="majorHAnsi"/>
                <w:sz w:val="22"/>
                <w:szCs w:val="22"/>
              </w:rPr>
              <w:t>.</w:t>
            </w:r>
          </w:p>
          <w:p w14:paraId="4A92B18F" w14:textId="761B0D84" w:rsidR="00175512" w:rsidRPr="00FB0470" w:rsidRDefault="00481A61" w:rsidP="000E23EE">
            <w:pPr>
              <w:rPr>
                <w:rFonts w:asciiTheme="majorHAnsi" w:hAnsiTheme="majorHAnsi"/>
                <w:sz w:val="22"/>
                <w:szCs w:val="22"/>
              </w:rPr>
            </w:pPr>
            <w:r w:rsidRPr="00FB0470">
              <w:rPr>
                <w:rFonts w:asciiTheme="majorHAnsi" w:hAnsiTheme="majorHAnsi"/>
                <w:sz w:val="22"/>
                <w:szCs w:val="22"/>
              </w:rPr>
              <w:t>§ 257.107</w:t>
            </w:r>
          </w:p>
          <w:p w14:paraId="78B298E8" w14:textId="77777777" w:rsidR="00175512" w:rsidRPr="00FB0470" w:rsidRDefault="00175512" w:rsidP="000E23EE">
            <w:pPr>
              <w:rPr>
                <w:rFonts w:asciiTheme="majorHAnsi" w:hAnsiTheme="majorHAnsi"/>
                <w:sz w:val="22"/>
                <w:szCs w:val="22"/>
              </w:rPr>
            </w:pPr>
          </w:p>
        </w:tc>
        <w:tc>
          <w:tcPr>
            <w:tcW w:w="3780" w:type="dxa"/>
          </w:tcPr>
          <w:p w14:paraId="7141B9A4" w14:textId="2B3F4FA9" w:rsidR="00B96256" w:rsidRDefault="00770D5F" w:rsidP="000E23EE">
            <w:pPr>
              <w:rPr>
                <w:rFonts w:asciiTheme="majorHAnsi" w:hAnsiTheme="majorHAnsi"/>
                <w:sz w:val="22"/>
                <w:szCs w:val="22"/>
              </w:rPr>
            </w:pPr>
            <w:r>
              <w:rPr>
                <w:rFonts w:asciiTheme="majorHAnsi" w:hAnsiTheme="majorHAnsi"/>
                <w:sz w:val="22"/>
                <w:szCs w:val="22"/>
                <w:u w:val="single"/>
              </w:rPr>
              <w:t>LIMITED</w:t>
            </w:r>
            <w:r>
              <w:rPr>
                <w:rFonts w:asciiTheme="majorHAnsi" w:hAnsiTheme="majorHAnsi"/>
                <w:sz w:val="22"/>
                <w:szCs w:val="22"/>
              </w:rPr>
              <w:t xml:space="preserve">. </w:t>
            </w:r>
            <w:r w:rsidR="00B96256">
              <w:rPr>
                <w:rFonts w:asciiTheme="majorHAnsi" w:hAnsiTheme="majorHAnsi"/>
                <w:sz w:val="22"/>
                <w:szCs w:val="22"/>
              </w:rPr>
              <w:t>The b</w:t>
            </w:r>
            <w:r w:rsidR="00E97654">
              <w:rPr>
                <w:rFonts w:asciiTheme="majorHAnsi" w:hAnsiTheme="majorHAnsi"/>
                <w:sz w:val="22"/>
                <w:szCs w:val="22"/>
              </w:rPr>
              <w:t xml:space="preserve">ill does NOT guarantee that all data will be posted on an internet site. Discretion is left to the State as to what is required, which may not include actual monitoring data or inspections.  </w:t>
            </w:r>
            <w:r w:rsidR="00B96256">
              <w:rPr>
                <w:rFonts w:asciiTheme="majorHAnsi" w:hAnsiTheme="majorHAnsi"/>
                <w:sz w:val="22"/>
                <w:szCs w:val="22"/>
              </w:rPr>
              <w:t>Further, a</w:t>
            </w:r>
            <w:r w:rsidR="00E97654">
              <w:rPr>
                <w:rFonts w:asciiTheme="majorHAnsi" w:hAnsiTheme="majorHAnsi"/>
                <w:sz w:val="22"/>
                <w:szCs w:val="22"/>
              </w:rPr>
              <w:t>ll information is subject to nondisclosure if a company submits a Confidential Business Information (CBI) claim.</w:t>
            </w:r>
            <w:r w:rsidR="00B96256" w:rsidRPr="00B96256">
              <w:rPr>
                <w:rFonts w:asciiTheme="majorHAnsi" w:hAnsiTheme="majorHAnsi"/>
                <w:sz w:val="22"/>
                <w:szCs w:val="22"/>
              </w:rPr>
              <w:t>§ 4011(c)(1)(B</w:t>
            </w:r>
            <w:r w:rsidR="00B96256">
              <w:rPr>
                <w:rFonts w:asciiTheme="majorHAnsi" w:hAnsiTheme="majorHAnsi"/>
                <w:sz w:val="22"/>
                <w:szCs w:val="22"/>
              </w:rPr>
              <w:t>)</w:t>
            </w:r>
          </w:p>
          <w:p w14:paraId="2B15FBE5" w14:textId="42C770B5" w:rsidR="00175512" w:rsidRDefault="00481A61" w:rsidP="000E23EE">
            <w:pPr>
              <w:rPr>
                <w:rFonts w:asciiTheme="majorHAnsi" w:hAnsiTheme="majorHAnsi"/>
                <w:sz w:val="22"/>
                <w:szCs w:val="22"/>
              </w:rPr>
            </w:pPr>
            <w:r w:rsidRPr="00FB0470">
              <w:rPr>
                <w:rFonts w:asciiTheme="majorHAnsi" w:hAnsiTheme="majorHAnsi"/>
                <w:sz w:val="22"/>
                <w:szCs w:val="22"/>
              </w:rPr>
              <w:t>§ 4011(b)(2)(C)(iii)(I)(</w:t>
            </w:r>
            <w:proofErr w:type="spellStart"/>
            <w:r w:rsidRPr="00FB0470">
              <w:rPr>
                <w:rFonts w:asciiTheme="majorHAnsi" w:hAnsiTheme="majorHAnsi"/>
                <w:sz w:val="22"/>
                <w:szCs w:val="22"/>
              </w:rPr>
              <w:t>dd</w:t>
            </w:r>
            <w:proofErr w:type="spellEnd"/>
            <w:r w:rsidRPr="00FB0470">
              <w:rPr>
                <w:rFonts w:asciiTheme="majorHAnsi" w:hAnsiTheme="majorHAnsi"/>
                <w:sz w:val="22"/>
                <w:szCs w:val="22"/>
              </w:rPr>
              <w:t>)</w:t>
            </w:r>
          </w:p>
          <w:p w14:paraId="05CE0EA6" w14:textId="77777777" w:rsidR="00E97654" w:rsidRPr="00FB0470" w:rsidRDefault="00E97654" w:rsidP="000E23EE">
            <w:pPr>
              <w:rPr>
                <w:rFonts w:asciiTheme="majorHAnsi" w:hAnsiTheme="majorHAnsi"/>
                <w:sz w:val="22"/>
                <w:szCs w:val="22"/>
              </w:rPr>
            </w:pPr>
          </w:p>
        </w:tc>
      </w:tr>
      <w:tr w:rsidR="00175512" w:rsidRPr="00FB0470" w14:paraId="16344689" w14:textId="77777777" w:rsidTr="000E23EE">
        <w:tc>
          <w:tcPr>
            <w:tcW w:w="0" w:type="auto"/>
          </w:tcPr>
          <w:p w14:paraId="2ACB25F6" w14:textId="76FABDBC" w:rsidR="00175512" w:rsidRPr="00FB0470" w:rsidRDefault="00800E45" w:rsidP="000E23EE">
            <w:pPr>
              <w:rPr>
                <w:rFonts w:asciiTheme="majorHAnsi" w:hAnsiTheme="majorHAnsi"/>
                <w:b/>
                <w:sz w:val="22"/>
                <w:szCs w:val="22"/>
              </w:rPr>
            </w:pPr>
            <w:r>
              <w:rPr>
                <w:rFonts w:asciiTheme="majorHAnsi" w:hAnsiTheme="majorHAnsi"/>
                <w:b/>
                <w:sz w:val="22"/>
                <w:szCs w:val="22"/>
              </w:rPr>
              <w:t>Immediate r</w:t>
            </w:r>
            <w:r w:rsidR="00481A61" w:rsidRPr="00FB0470">
              <w:rPr>
                <w:rFonts w:asciiTheme="majorHAnsi" w:hAnsiTheme="majorHAnsi"/>
                <w:b/>
                <w:sz w:val="22"/>
                <w:szCs w:val="22"/>
              </w:rPr>
              <w:t xml:space="preserve">esponse to </w:t>
            </w:r>
            <w:r w:rsidR="00C8529D">
              <w:rPr>
                <w:rFonts w:asciiTheme="majorHAnsi" w:hAnsiTheme="majorHAnsi"/>
                <w:b/>
                <w:sz w:val="22"/>
                <w:szCs w:val="22"/>
              </w:rPr>
              <w:t>spills and releases from coal ash ponds and l</w:t>
            </w:r>
            <w:r w:rsidR="00770D5F">
              <w:rPr>
                <w:rFonts w:asciiTheme="majorHAnsi" w:hAnsiTheme="majorHAnsi"/>
                <w:b/>
                <w:sz w:val="22"/>
                <w:szCs w:val="22"/>
              </w:rPr>
              <w:t>andfills</w:t>
            </w:r>
          </w:p>
        </w:tc>
        <w:tc>
          <w:tcPr>
            <w:tcW w:w="3113" w:type="dxa"/>
          </w:tcPr>
          <w:p w14:paraId="4E7C200A" w14:textId="4D90EE23" w:rsidR="00175512" w:rsidRPr="00FB0470" w:rsidRDefault="00770D5F" w:rsidP="000E23EE">
            <w:pPr>
              <w:rPr>
                <w:rFonts w:asciiTheme="majorHAnsi" w:hAnsiTheme="majorHAnsi"/>
                <w:sz w:val="22"/>
                <w:szCs w:val="22"/>
              </w:rPr>
            </w:pPr>
            <w:r w:rsidRPr="00B96256">
              <w:rPr>
                <w:rFonts w:asciiTheme="majorHAnsi" w:hAnsiTheme="majorHAnsi"/>
                <w:sz w:val="22"/>
                <w:szCs w:val="22"/>
                <w:u w:val="single"/>
              </w:rPr>
              <w:t>YES</w:t>
            </w:r>
            <w:r>
              <w:rPr>
                <w:rFonts w:asciiTheme="majorHAnsi" w:hAnsiTheme="majorHAnsi"/>
                <w:sz w:val="22"/>
                <w:szCs w:val="22"/>
              </w:rPr>
              <w:t xml:space="preserve">. </w:t>
            </w:r>
            <w:r w:rsidR="00481A61" w:rsidRPr="00FB0470">
              <w:rPr>
                <w:rFonts w:asciiTheme="majorHAnsi" w:hAnsiTheme="majorHAnsi"/>
                <w:sz w:val="22"/>
                <w:szCs w:val="22"/>
              </w:rPr>
              <w:t xml:space="preserve">All releases are subject to </w:t>
            </w:r>
            <w:r w:rsidR="00481A61" w:rsidRPr="00E97654">
              <w:rPr>
                <w:rFonts w:asciiTheme="majorHAnsi" w:hAnsiTheme="majorHAnsi"/>
                <w:sz w:val="22"/>
                <w:szCs w:val="22"/>
                <w:u w:val="single"/>
              </w:rPr>
              <w:t>immediate</w:t>
            </w:r>
            <w:r w:rsidR="00481A61" w:rsidRPr="00FB0470">
              <w:rPr>
                <w:rFonts w:asciiTheme="majorHAnsi" w:hAnsiTheme="majorHAnsi"/>
                <w:sz w:val="22"/>
                <w:szCs w:val="22"/>
              </w:rPr>
              <w:t xml:space="preserve"> cleanup, public notice, and corrective action.</w:t>
            </w:r>
          </w:p>
          <w:p w14:paraId="0AE5F907" w14:textId="77777777" w:rsidR="00175512" w:rsidRPr="00FB0470" w:rsidRDefault="00481A61" w:rsidP="000E23EE">
            <w:pPr>
              <w:rPr>
                <w:rFonts w:asciiTheme="majorHAnsi" w:hAnsiTheme="majorHAnsi"/>
                <w:sz w:val="22"/>
                <w:szCs w:val="22"/>
              </w:rPr>
            </w:pPr>
            <w:r w:rsidRPr="00FB0470">
              <w:rPr>
                <w:rFonts w:asciiTheme="majorHAnsi" w:hAnsiTheme="majorHAnsi"/>
                <w:sz w:val="22"/>
                <w:szCs w:val="22"/>
              </w:rPr>
              <w:t>§ 257.90(d)</w:t>
            </w:r>
          </w:p>
        </w:tc>
        <w:tc>
          <w:tcPr>
            <w:tcW w:w="3780" w:type="dxa"/>
          </w:tcPr>
          <w:p w14:paraId="056D43A1" w14:textId="2BD424E4" w:rsidR="00175512" w:rsidRDefault="00770D5F" w:rsidP="000E23EE">
            <w:pPr>
              <w:rPr>
                <w:rFonts w:asciiTheme="majorHAnsi" w:hAnsiTheme="majorHAnsi"/>
                <w:sz w:val="22"/>
                <w:szCs w:val="22"/>
              </w:rPr>
            </w:pPr>
            <w:r>
              <w:rPr>
                <w:rFonts w:asciiTheme="majorHAnsi" w:hAnsiTheme="majorHAnsi"/>
                <w:sz w:val="22"/>
                <w:szCs w:val="22"/>
                <w:u w:val="single"/>
              </w:rPr>
              <w:t>NO</w:t>
            </w:r>
            <w:r w:rsidR="00481A61" w:rsidRPr="00FB0470">
              <w:rPr>
                <w:rFonts w:asciiTheme="majorHAnsi" w:hAnsiTheme="majorHAnsi"/>
                <w:sz w:val="22"/>
                <w:szCs w:val="22"/>
                <w:u w:val="single"/>
              </w:rPr>
              <w:t xml:space="preserve"> response required</w:t>
            </w:r>
            <w:r w:rsidR="00481A61" w:rsidRPr="00FB0470">
              <w:rPr>
                <w:rFonts w:asciiTheme="majorHAnsi" w:hAnsiTheme="majorHAnsi"/>
                <w:sz w:val="22"/>
                <w:szCs w:val="22"/>
              </w:rPr>
              <w:t xml:space="preserve">. Implementing agency may determine that corrective action </w:t>
            </w:r>
            <w:r w:rsidR="00481A61" w:rsidRPr="00FB0470">
              <w:rPr>
                <w:rFonts w:asciiTheme="majorHAnsi" w:hAnsiTheme="majorHAnsi"/>
                <w:sz w:val="22"/>
                <w:szCs w:val="22"/>
                <w:u w:val="single"/>
              </w:rPr>
              <w:t xml:space="preserve">is not necessary or required </w:t>
            </w:r>
            <w:r w:rsidR="00481A61" w:rsidRPr="00FB0470">
              <w:rPr>
                <w:rFonts w:asciiTheme="majorHAnsi" w:hAnsiTheme="majorHAnsi"/>
                <w:sz w:val="22"/>
                <w:szCs w:val="22"/>
              </w:rPr>
              <w:t xml:space="preserve">for spills. No public notice of spills </w:t>
            </w:r>
            <w:r w:rsidR="00E97654">
              <w:rPr>
                <w:rFonts w:asciiTheme="majorHAnsi" w:hAnsiTheme="majorHAnsi"/>
                <w:sz w:val="22"/>
                <w:szCs w:val="22"/>
              </w:rPr>
              <w:t xml:space="preserve">is </w:t>
            </w:r>
            <w:r w:rsidR="00481A61" w:rsidRPr="00FB0470">
              <w:rPr>
                <w:rFonts w:asciiTheme="majorHAnsi" w:hAnsiTheme="majorHAnsi"/>
                <w:sz w:val="22"/>
                <w:szCs w:val="22"/>
              </w:rPr>
              <w:t>required. § 4011(c)(B)(ii)(IV)</w:t>
            </w:r>
          </w:p>
          <w:p w14:paraId="338F2968" w14:textId="33CADCAB" w:rsidR="00E97654" w:rsidRPr="00FB0470" w:rsidRDefault="00E97654" w:rsidP="000E23EE">
            <w:pPr>
              <w:rPr>
                <w:rFonts w:asciiTheme="majorHAnsi" w:hAnsiTheme="majorHAnsi"/>
                <w:sz w:val="22"/>
                <w:szCs w:val="22"/>
              </w:rPr>
            </w:pPr>
          </w:p>
        </w:tc>
      </w:tr>
      <w:tr w:rsidR="00175512" w:rsidRPr="00FB0470" w14:paraId="003257B0" w14:textId="77777777" w:rsidTr="000E23EE">
        <w:tc>
          <w:tcPr>
            <w:tcW w:w="0" w:type="auto"/>
          </w:tcPr>
          <w:p w14:paraId="6E82C1BF" w14:textId="1E5A4DED" w:rsidR="00175512" w:rsidRPr="00FB0470" w:rsidRDefault="00B96256" w:rsidP="000E23EE">
            <w:pPr>
              <w:rPr>
                <w:rFonts w:asciiTheme="majorHAnsi" w:hAnsiTheme="majorHAnsi"/>
                <w:b/>
                <w:sz w:val="22"/>
                <w:szCs w:val="22"/>
              </w:rPr>
            </w:pPr>
            <w:r>
              <w:rPr>
                <w:rFonts w:asciiTheme="majorHAnsi" w:hAnsiTheme="majorHAnsi"/>
                <w:b/>
                <w:sz w:val="22"/>
                <w:szCs w:val="22"/>
              </w:rPr>
              <w:t>Closure r</w:t>
            </w:r>
            <w:r w:rsidR="00C8529D">
              <w:rPr>
                <w:rFonts w:asciiTheme="majorHAnsi" w:hAnsiTheme="majorHAnsi"/>
                <w:b/>
                <w:sz w:val="22"/>
                <w:szCs w:val="22"/>
              </w:rPr>
              <w:t>equirement for u</w:t>
            </w:r>
            <w:r w:rsidR="00481A61" w:rsidRPr="00FB0470">
              <w:rPr>
                <w:rFonts w:asciiTheme="majorHAnsi" w:hAnsiTheme="majorHAnsi"/>
                <w:b/>
                <w:sz w:val="22"/>
                <w:szCs w:val="22"/>
              </w:rPr>
              <w:t>nlined ponds that</w:t>
            </w:r>
            <w:r w:rsidR="00800E45">
              <w:rPr>
                <w:rFonts w:asciiTheme="majorHAnsi" w:hAnsiTheme="majorHAnsi"/>
                <w:b/>
                <w:sz w:val="22"/>
                <w:szCs w:val="22"/>
              </w:rPr>
              <w:t xml:space="preserve"> violate health-based groundwate</w:t>
            </w:r>
            <w:r w:rsidR="00481A61" w:rsidRPr="00FB0470">
              <w:rPr>
                <w:rFonts w:asciiTheme="majorHAnsi" w:hAnsiTheme="majorHAnsi"/>
                <w:b/>
                <w:sz w:val="22"/>
                <w:szCs w:val="22"/>
              </w:rPr>
              <w:t>r standards</w:t>
            </w:r>
          </w:p>
        </w:tc>
        <w:tc>
          <w:tcPr>
            <w:tcW w:w="3113" w:type="dxa"/>
          </w:tcPr>
          <w:p w14:paraId="1A50DC09" w14:textId="783B9A14" w:rsidR="00175512" w:rsidRDefault="000B1918" w:rsidP="000E23EE">
            <w:pPr>
              <w:rPr>
                <w:rFonts w:asciiTheme="majorHAnsi" w:hAnsiTheme="majorHAnsi"/>
                <w:sz w:val="22"/>
                <w:szCs w:val="22"/>
              </w:rPr>
            </w:pPr>
            <w:r w:rsidRPr="00B96256">
              <w:rPr>
                <w:rFonts w:asciiTheme="majorHAnsi" w:hAnsiTheme="majorHAnsi"/>
                <w:sz w:val="22"/>
                <w:szCs w:val="22"/>
                <w:u w:val="single"/>
              </w:rPr>
              <w:t>YES</w:t>
            </w:r>
            <w:r w:rsidR="00B96256" w:rsidRPr="00B96256">
              <w:rPr>
                <w:rFonts w:asciiTheme="majorHAnsi" w:hAnsiTheme="majorHAnsi"/>
                <w:sz w:val="22"/>
                <w:szCs w:val="22"/>
                <w:u w:val="single"/>
              </w:rPr>
              <w:t>.</w:t>
            </w:r>
            <w:r>
              <w:rPr>
                <w:rFonts w:asciiTheme="majorHAnsi" w:hAnsiTheme="majorHAnsi"/>
                <w:sz w:val="22"/>
                <w:szCs w:val="22"/>
              </w:rPr>
              <w:t xml:space="preserve"> </w:t>
            </w:r>
            <w:r w:rsidR="00481A61" w:rsidRPr="00FB0470">
              <w:rPr>
                <w:rFonts w:asciiTheme="majorHAnsi" w:hAnsiTheme="majorHAnsi"/>
                <w:sz w:val="22"/>
                <w:szCs w:val="22"/>
              </w:rPr>
              <w:t>Leaking unlined ponds that violate health-based groundwater protection standards must cease receiving waste within 6 months and close. § 257.101(a)(1)</w:t>
            </w:r>
          </w:p>
          <w:p w14:paraId="6E5134A8" w14:textId="414D1A9C" w:rsidR="00E97654" w:rsidRPr="00FB0470" w:rsidRDefault="00E97654" w:rsidP="000E23EE">
            <w:pPr>
              <w:rPr>
                <w:rFonts w:asciiTheme="majorHAnsi" w:hAnsiTheme="majorHAnsi"/>
                <w:sz w:val="22"/>
                <w:szCs w:val="22"/>
              </w:rPr>
            </w:pPr>
          </w:p>
        </w:tc>
        <w:tc>
          <w:tcPr>
            <w:tcW w:w="3780" w:type="dxa"/>
          </w:tcPr>
          <w:p w14:paraId="530FCD4B" w14:textId="77777777" w:rsidR="00B96256" w:rsidRDefault="000B1918" w:rsidP="000E23EE">
            <w:pPr>
              <w:rPr>
                <w:rFonts w:asciiTheme="majorHAnsi" w:hAnsiTheme="majorHAnsi"/>
                <w:sz w:val="22"/>
                <w:szCs w:val="22"/>
              </w:rPr>
            </w:pPr>
            <w:r w:rsidRPr="00B96256">
              <w:rPr>
                <w:rFonts w:asciiTheme="majorHAnsi" w:hAnsiTheme="majorHAnsi"/>
                <w:sz w:val="22"/>
                <w:szCs w:val="22"/>
                <w:u w:val="single"/>
              </w:rPr>
              <w:t>NO.</w:t>
            </w:r>
            <w:r>
              <w:rPr>
                <w:rFonts w:asciiTheme="majorHAnsi" w:hAnsiTheme="majorHAnsi"/>
                <w:sz w:val="22"/>
                <w:szCs w:val="22"/>
              </w:rPr>
              <w:t xml:space="preserve"> </w:t>
            </w:r>
            <w:r w:rsidR="00481A61" w:rsidRPr="00FB0470">
              <w:rPr>
                <w:rFonts w:asciiTheme="majorHAnsi" w:hAnsiTheme="majorHAnsi"/>
                <w:sz w:val="22"/>
                <w:szCs w:val="22"/>
              </w:rPr>
              <w:t>Leaking unlined po</w:t>
            </w:r>
            <w:r w:rsidR="00B96256">
              <w:rPr>
                <w:rFonts w:asciiTheme="majorHAnsi" w:hAnsiTheme="majorHAnsi"/>
                <w:sz w:val="22"/>
                <w:szCs w:val="22"/>
              </w:rPr>
              <w:t>nds may continue to accept coal ash</w:t>
            </w:r>
            <w:r w:rsidR="00481A61" w:rsidRPr="00FB0470">
              <w:rPr>
                <w:rFonts w:asciiTheme="majorHAnsi" w:hAnsiTheme="majorHAnsi"/>
                <w:sz w:val="22"/>
                <w:szCs w:val="22"/>
              </w:rPr>
              <w:t xml:space="preserve"> for </w:t>
            </w:r>
            <w:r w:rsidR="00481A61" w:rsidRPr="00FB0470">
              <w:rPr>
                <w:rFonts w:asciiTheme="majorHAnsi" w:hAnsiTheme="majorHAnsi"/>
                <w:sz w:val="22"/>
                <w:szCs w:val="22"/>
                <w:u w:val="single"/>
              </w:rPr>
              <w:t>102 months</w:t>
            </w:r>
            <w:r w:rsidR="00481A61" w:rsidRPr="00FB0470">
              <w:rPr>
                <w:rFonts w:asciiTheme="majorHAnsi" w:hAnsiTheme="majorHAnsi"/>
                <w:sz w:val="22"/>
                <w:szCs w:val="22"/>
              </w:rPr>
              <w:t xml:space="preserve"> after exceeding  health-based groundwater standards, and exceedances of health standards can continue for up to 8.5 years. </w:t>
            </w:r>
          </w:p>
          <w:p w14:paraId="3C5E1402" w14:textId="08779D07" w:rsidR="00175512" w:rsidRPr="00FB0470" w:rsidRDefault="00481A61" w:rsidP="000E23EE">
            <w:pPr>
              <w:rPr>
                <w:rFonts w:asciiTheme="majorHAnsi" w:hAnsiTheme="majorHAnsi"/>
                <w:sz w:val="22"/>
                <w:szCs w:val="22"/>
              </w:rPr>
            </w:pPr>
            <w:r w:rsidRPr="00FB0470">
              <w:rPr>
                <w:rFonts w:asciiTheme="majorHAnsi" w:hAnsiTheme="majorHAnsi"/>
                <w:sz w:val="22"/>
                <w:szCs w:val="22"/>
              </w:rPr>
              <w:t>§ 4011</w:t>
            </w:r>
            <w:r w:rsidR="00B96256">
              <w:rPr>
                <w:rFonts w:asciiTheme="majorHAnsi" w:hAnsiTheme="majorHAnsi"/>
                <w:sz w:val="22"/>
                <w:szCs w:val="22"/>
              </w:rPr>
              <w:t>(c)</w:t>
            </w:r>
            <w:r w:rsidRPr="00FB0470">
              <w:rPr>
                <w:rFonts w:asciiTheme="majorHAnsi" w:hAnsiTheme="majorHAnsi"/>
                <w:sz w:val="22"/>
                <w:szCs w:val="22"/>
              </w:rPr>
              <w:t>(B)(ii)(VI)</w:t>
            </w:r>
          </w:p>
        </w:tc>
      </w:tr>
      <w:tr w:rsidR="000E23EE" w:rsidRPr="00FB0470" w14:paraId="4F3CEABA" w14:textId="77777777" w:rsidTr="000E23EE">
        <w:tc>
          <w:tcPr>
            <w:tcW w:w="0" w:type="auto"/>
          </w:tcPr>
          <w:p w14:paraId="3F15A370" w14:textId="24886056" w:rsidR="000E23EE" w:rsidRDefault="00800E45" w:rsidP="000E23EE">
            <w:pPr>
              <w:rPr>
                <w:rFonts w:asciiTheme="majorHAnsi" w:hAnsiTheme="majorHAnsi"/>
                <w:b/>
                <w:sz w:val="22"/>
                <w:szCs w:val="22"/>
              </w:rPr>
            </w:pPr>
            <w:r>
              <w:rPr>
                <w:rFonts w:asciiTheme="majorHAnsi" w:hAnsiTheme="majorHAnsi"/>
                <w:b/>
                <w:sz w:val="22"/>
                <w:szCs w:val="22"/>
              </w:rPr>
              <w:t>Requirement that p</w:t>
            </w:r>
            <w:r w:rsidR="00B96256">
              <w:rPr>
                <w:rFonts w:asciiTheme="majorHAnsi" w:hAnsiTheme="majorHAnsi"/>
                <w:b/>
                <w:sz w:val="22"/>
                <w:szCs w:val="22"/>
              </w:rPr>
              <w:t>onds failing</w:t>
            </w:r>
            <w:r w:rsidR="000E23EE" w:rsidRPr="00FB0470">
              <w:rPr>
                <w:rFonts w:asciiTheme="majorHAnsi" w:hAnsiTheme="majorHAnsi"/>
                <w:b/>
                <w:sz w:val="22"/>
                <w:szCs w:val="22"/>
              </w:rPr>
              <w:t xml:space="preserve"> to demonstrate</w:t>
            </w:r>
            <w:r w:rsidR="000E23EE">
              <w:rPr>
                <w:rFonts w:asciiTheme="majorHAnsi" w:hAnsiTheme="majorHAnsi"/>
                <w:b/>
                <w:sz w:val="22"/>
                <w:szCs w:val="22"/>
              </w:rPr>
              <w:t xml:space="preserve"> structural stability</w:t>
            </w:r>
            <w:r w:rsidR="000E23EE" w:rsidRPr="00FB0470">
              <w:rPr>
                <w:rFonts w:asciiTheme="majorHAnsi" w:hAnsiTheme="majorHAnsi"/>
                <w:b/>
                <w:sz w:val="22"/>
                <w:szCs w:val="22"/>
              </w:rPr>
              <w:t xml:space="preserve"> </w:t>
            </w:r>
            <w:r w:rsidR="000E23EE">
              <w:rPr>
                <w:rFonts w:asciiTheme="majorHAnsi" w:hAnsiTheme="majorHAnsi"/>
                <w:b/>
                <w:sz w:val="22"/>
                <w:szCs w:val="22"/>
              </w:rPr>
              <w:t>must stop accepting waste within 6 months and close</w:t>
            </w:r>
          </w:p>
          <w:p w14:paraId="737ECA63" w14:textId="20A04221" w:rsidR="00800E45" w:rsidRPr="00FB0470" w:rsidRDefault="00800E45" w:rsidP="000E23EE">
            <w:pPr>
              <w:rPr>
                <w:rFonts w:asciiTheme="majorHAnsi" w:hAnsiTheme="majorHAnsi"/>
                <w:b/>
                <w:sz w:val="22"/>
                <w:szCs w:val="22"/>
              </w:rPr>
            </w:pPr>
          </w:p>
        </w:tc>
        <w:tc>
          <w:tcPr>
            <w:tcW w:w="3113" w:type="dxa"/>
          </w:tcPr>
          <w:p w14:paraId="62273CD0" w14:textId="7860C5F2" w:rsidR="000E23EE" w:rsidRPr="000E23EE" w:rsidRDefault="000E23EE" w:rsidP="000E23EE">
            <w:pPr>
              <w:rPr>
                <w:rFonts w:asciiTheme="majorHAnsi" w:hAnsiTheme="majorHAnsi"/>
                <w:sz w:val="22"/>
                <w:szCs w:val="22"/>
              </w:rPr>
            </w:pPr>
            <w:r w:rsidRPr="00B2490E">
              <w:rPr>
                <w:rFonts w:asciiTheme="majorHAnsi" w:hAnsiTheme="majorHAnsi"/>
                <w:sz w:val="22"/>
                <w:szCs w:val="22"/>
                <w:u w:val="single"/>
              </w:rPr>
              <w:t>YES.</w:t>
            </w:r>
            <w:r>
              <w:rPr>
                <w:rFonts w:asciiTheme="majorHAnsi" w:hAnsiTheme="majorHAnsi"/>
                <w:sz w:val="22"/>
                <w:szCs w:val="22"/>
              </w:rPr>
              <w:t xml:space="preserve"> </w:t>
            </w:r>
            <w:r w:rsidRPr="00FB0470">
              <w:rPr>
                <w:rFonts w:asciiTheme="majorHAnsi" w:hAnsiTheme="majorHAnsi"/>
                <w:sz w:val="22"/>
                <w:szCs w:val="22"/>
              </w:rPr>
              <w:t xml:space="preserve">Impoundments that fail to demonstrate the minimum fed. safety standards for structural stability must cease accepting waste </w:t>
            </w:r>
            <w:r w:rsidRPr="00FB0470">
              <w:rPr>
                <w:rFonts w:asciiTheme="majorHAnsi" w:hAnsiTheme="majorHAnsi"/>
                <w:sz w:val="22"/>
                <w:szCs w:val="22"/>
                <w:u w:val="single"/>
              </w:rPr>
              <w:t xml:space="preserve">within 6 months and close. </w:t>
            </w:r>
            <w:r w:rsidRPr="00FB0470">
              <w:rPr>
                <w:rFonts w:asciiTheme="majorHAnsi" w:hAnsiTheme="majorHAnsi"/>
                <w:sz w:val="22"/>
                <w:szCs w:val="22"/>
              </w:rPr>
              <w:t>§ 257.101</w:t>
            </w:r>
          </w:p>
        </w:tc>
        <w:tc>
          <w:tcPr>
            <w:tcW w:w="3780" w:type="dxa"/>
          </w:tcPr>
          <w:p w14:paraId="569163AF" w14:textId="07B9486D" w:rsidR="000E23EE" w:rsidRPr="00FB0470" w:rsidRDefault="000E23EE" w:rsidP="000E23EE">
            <w:pPr>
              <w:rPr>
                <w:rFonts w:asciiTheme="majorHAnsi" w:hAnsiTheme="majorHAnsi"/>
                <w:sz w:val="22"/>
                <w:szCs w:val="22"/>
              </w:rPr>
            </w:pPr>
            <w:r w:rsidRPr="00B2490E">
              <w:rPr>
                <w:rFonts w:asciiTheme="majorHAnsi" w:hAnsiTheme="majorHAnsi"/>
                <w:sz w:val="22"/>
                <w:szCs w:val="22"/>
                <w:u w:val="single"/>
              </w:rPr>
              <w:t>NO</w:t>
            </w:r>
            <w:r>
              <w:rPr>
                <w:rFonts w:asciiTheme="majorHAnsi" w:hAnsiTheme="majorHAnsi"/>
                <w:sz w:val="22"/>
                <w:szCs w:val="22"/>
              </w:rPr>
              <w:t xml:space="preserve">. </w:t>
            </w:r>
            <w:r w:rsidR="00E4426D">
              <w:rPr>
                <w:rFonts w:asciiTheme="majorHAnsi" w:hAnsiTheme="majorHAnsi"/>
                <w:sz w:val="22"/>
                <w:szCs w:val="22"/>
              </w:rPr>
              <w:t>The o</w:t>
            </w:r>
            <w:r w:rsidRPr="00FB0470">
              <w:rPr>
                <w:rFonts w:asciiTheme="majorHAnsi" w:hAnsiTheme="majorHAnsi"/>
                <w:sz w:val="22"/>
                <w:szCs w:val="22"/>
              </w:rPr>
              <w:t>wner/operator has up to 12 additional months to meet safety factors</w:t>
            </w:r>
            <w:r w:rsidR="00E4426D">
              <w:rPr>
                <w:rFonts w:asciiTheme="majorHAnsi" w:hAnsiTheme="majorHAnsi"/>
                <w:sz w:val="22"/>
                <w:szCs w:val="22"/>
              </w:rPr>
              <w:t xml:space="preserve"> even if federal structural stability standards are not met. </w:t>
            </w:r>
            <w:r w:rsidRPr="00FB0470">
              <w:rPr>
                <w:rFonts w:asciiTheme="majorHAnsi" w:hAnsiTheme="majorHAnsi"/>
                <w:sz w:val="22"/>
                <w:szCs w:val="22"/>
              </w:rPr>
              <w:t xml:space="preserve"> </w:t>
            </w:r>
          </w:p>
          <w:p w14:paraId="1654D35A" w14:textId="22AA0625" w:rsidR="000E23EE" w:rsidRDefault="000E23EE" w:rsidP="000E23EE">
            <w:pPr>
              <w:rPr>
                <w:rFonts w:asciiTheme="majorHAnsi" w:hAnsiTheme="majorHAnsi"/>
                <w:sz w:val="22"/>
                <w:szCs w:val="22"/>
              </w:rPr>
            </w:pPr>
            <w:r w:rsidRPr="00FB0470">
              <w:rPr>
                <w:rFonts w:asciiTheme="majorHAnsi" w:hAnsiTheme="majorHAnsi"/>
                <w:sz w:val="22"/>
                <w:szCs w:val="22"/>
              </w:rPr>
              <w:t>§ 4011(c)(L)(ii)</w:t>
            </w:r>
          </w:p>
        </w:tc>
      </w:tr>
      <w:tr w:rsidR="000E23EE" w:rsidRPr="00FB0470" w14:paraId="4744FC2F" w14:textId="77777777" w:rsidTr="000E23EE">
        <w:tc>
          <w:tcPr>
            <w:tcW w:w="0" w:type="auto"/>
          </w:tcPr>
          <w:p w14:paraId="497AAE5E" w14:textId="02D29C15" w:rsidR="000E23EE" w:rsidRDefault="00800E45" w:rsidP="000E23EE">
            <w:pPr>
              <w:rPr>
                <w:rFonts w:asciiTheme="majorHAnsi" w:hAnsiTheme="majorHAnsi"/>
                <w:b/>
                <w:sz w:val="22"/>
                <w:szCs w:val="22"/>
              </w:rPr>
            </w:pPr>
            <w:r>
              <w:rPr>
                <w:rFonts w:asciiTheme="majorHAnsi" w:hAnsiTheme="majorHAnsi"/>
                <w:b/>
                <w:sz w:val="22"/>
                <w:szCs w:val="22"/>
              </w:rPr>
              <w:lastRenderedPageBreak/>
              <w:t xml:space="preserve">KEY </w:t>
            </w:r>
            <w:r w:rsidR="000E23EE">
              <w:rPr>
                <w:rFonts w:asciiTheme="majorHAnsi" w:hAnsiTheme="majorHAnsi"/>
                <w:b/>
                <w:sz w:val="22"/>
                <w:szCs w:val="22"/>
              </w:rPr>
              <w:t>REQUIREMENT</w:t>
            </w:r>
          </w:p>
        </w:tc>
        <w:tc>
          <w:tcPr>
            <w:tcW w:w="3113" w:type="dxa"/>
          </w:tcPr>
          <w:p w14:paraId="028017D5" w14:textId="53EB40FA" w:rsidR="000E23EE" w:rsidRPr="000E23EE" w:rsidRDefault="000E23EE" w:rsidP="000E23EE">
            <w:pPr>
              <w:rPr>
                <w:rFonts w:asciiTheme="majorHAnsi" w:hAnsiTheme="majorHAnsi"/>
                <w:b/>
                <w:sz w:val="22"/>
                <w:szCs w:val="22"/>
              </w:rPr>
            </w:pPr>
            <w:r w:rsidRPr="000E23EE">
              <w:rPr>
                <w:rFonts w:asciiTheme="majorHAnsi" w:hAnsiTheme="majorHAnsi"/>
                <w:b/>
                <w:sz w:val="22"/>
                <w:szCs w:val="22"/>
              </w:rPr>
              <w:t>EPA CCR RULE</w:t>
            </w:r>
          </w:p>
        </w:tc>
        <w:tc>
          <w:tcPr>
            <w:tcW w:w="3780" w:type="dxa"/>
          </w:tcPr>
          <w:p w14:paraId="071EE507" w14:textId="4ECCD277" w:rsidR="000E23EE" w:rsidRPr="000E23EE" w:rsidRDefault="00E4426D" w:rsidP="000E23EE">
            <w:pPr>
              <w:rPr>
                <w:rFonts w:asciiTheme="majorHAnsi" w:hAnsiTheme="majorHAnsi"/>
                <w:b/>
                <w:sz w:val="22"/>
                <w:szCs w:val="22"/>
              </w:rPr>
            </w:pPr>
            <w:r>
              <w:rPr>
                <w:rFonts w:asciiTheme="majorHAnsi" w:hAnsiTheme="majorHAnsi"/>
                <w:b/>
                <w:sz w:val="22"/>
                <w:szCs w:val="22"/>
              </w:rPr>
              <w:t>MCKIN</w:t>
            </w:r>
            <w:r w:rsidR="000E23EE" w:rsidRPr="000E23EE">
              <w:rPr>
                <w:rFonts w:asciiTheme="majorHAnsi" w:hAnsiTheme="majorHAnsi"/>
                <w:b/>
                <w:sz w:val="22"/>
                <w:szCs w:val="22"/>
              </w:rPr>
              <w:t>L</w:t>
            </w:r>
            <w:r>
              <w:rPr>
                <w:rFonts w:asciiTheme="majorHAnsi" w:hAnsiTheme="majorHAnsi"/>
                <w:b/>
                <w:sz w:val="22"/>
                <w:szCs w:val="22"/>
              </w:rPr>
              <w:t>E</w:t>
            </w:r>
            <w:r w:rsidR="000E23EE" w:rsidRPr="000E23EE">
              <w:rPr>
                <w:rFonts w:asciiTheme="majorHAnsi" w:hAnsiTheme="majorHAnsi"/>
                <w:b/>
                <w:sz w:val="22"/>
                <w:szCs w:val="22"/>
              </w:rPr>
              <w:t>Y’S HR 1734</w:t>
            </w:r>
          </w:p>
        </w:tc>
      </w:tr>
      <w:tr w:rsidR="00175512" w:rsidRPr="00FB0470" w14:paraId="61794069" w14:textId="77777777" w:rsidTr="000E23EE">
        <w:tc>
          <w:tcPr>
            <w:tcW w:w="0" w:type="auto"/>
          </w:tcPr>
          <w:p w14:paraId="265AAEF1" w14:textId="429D16F5" w:rsidR="00175512" w:rsidRPr="00FB0470" w:rsidRDefault="00800E45" w:rsidP="00B2490E">
            <w:pPr>
              <w:rPr>
                <w:rFonts w:asciiTheme="majorHAnsi" w:hAnsiTheme="majorHAnsi"/>
                <w:b/>
                <w:sz w:val="22"/>
                <w:szCs w:val="22"/>
              </w:rPr>
            </w:pPr>
            <w:r>
              <w:rPr>
                <w:rFonts w:asciiTheme="majorHAnsi" w:hAnsiTheme="majorHAnsi"/>
                <w:b/>
                <w:sz w:val="22"/>
                <w:szCs w:val="22"/>
              </w:rPr>
              <w:t xml:space="preserve">Prohibits coal ash dumps in five sensitive or dangerous locations, </w:t>
            </w:r>
            <w:r w:rsidR="00B2490E">
              <w:rPr>
                <w:rFonts w:asciiTheme="majorHAnsi" w:hAnsiTheme="majorHAnsi"/>
                <w:b/>
                <w:sz w:val="22"/>
                <w:szCs w:val="22"/>
              </w:rPr>
              <w:t xml:space="preserve"> including prohibiting</w:t>
            </w:r>
            <w:r w:rsidR="00481A61" w:rsidRPr="00FB0470">
              <w:rPr>
                <w:rFonts w:asciiTheme="majorHAnsi" w:hAnsiTheme="majorHAnsi"/>
                <w:b/>
                <w:sz w:val="22"/>
                <w:szCs w:val="22"/>
              </w:rPr>
              <w:t xml:space="preserve"> placing coal ash in </w:t>
            </w:r>
            <w:r w:rsidR="00B2490E">
              <w:rPr>
                <w:rFonts w:asciiTheme="majorHAnsi" w:hAnsiTheme="majorHAnsi"/>
                <w:b/>
                <w:sz w:val="22"/>
                <w:szCs w:val="22"/>
              </w:rPr>
              <w:t xml:space="preserve">drinking water </w:t>
            </w:r>
            <w:r w:rsidR="00481A61" w:rsidRPr="00FB0470">
              <w:rPr>
                <w:rFonts w:asciiTheme="majorHAnsi" w:hAnsiTheme="majorHAnsi"/>
                <w:b/>
                <w:sz w:val="22"/>
                <w:szCs w:val="22"/>
              </w:rPr>
              <w:t>aquifers</w:t>
            </w:r>
          </w:p>
        </w:tc>
        <w:tc>
          <w:tcPr>
            <w:tcW w:w="3113" w:type="dxa"/>
          </w:tcPr>
          <w:p w14:paraId="4BC83D3F" w14:textId="44A05319" w:rsidR="00175512" w:rsidRDefault="000B1918" w:rsidP="000E23EE">
            <w:pPr>
              <w:rPr>
                <w:rFonts w:asciiTheme="majorHAnsi" w:hAnsiTheme="majorHAnsi"/>
                <w:sz w:val="22"/>
                <w:szCs w:val="22"/>
              </w:rPr>
            </w:pPr>
            <w:r w:rsidRPr="00B2490E">
              <w:rPr>
                <w:rFonts w:asciiTheme="majorHAnsi" w:hAnsiTheme="majorHAnsi"/>
                <w:sz w:val="22"/>
                <w:szCs w:val="22"/>
                <w:u w:val="single"/>
              </w:rPr>
              <w:t>YES.</w:t>
            </w:r>
            <w:r>
              <w:rPr>
                <w:rFonts w:asciiTheme="majorHAnsi" w:hAnsiTheme="majorHAnsi"/>
                <w:sz w:val="22"/>
                <w:szCs w:val="22"/>
              </w:rPr>
              <w:t xml:space="preserve"> </w:t>
            </w:r>
            <w:r w:rsidR="00481A61" w:rsidRPr="00FB0470">
              <w:rPr>
                <w:rFonts w:asciiTheme="majorHAnsi" w:hAnsiTheme="majorHAnsi"/>
                <w:sz w:val="22"/>
                <w:szCs w:val="22"/>
              </w:rPr>
              <w:t>Five restrictio</w:t>
            </w:r>
            <w:r w:rsidR="00800E45">
              <w:rPr>
                <w:rFonts w:asciiTheme="majorHAnsi" w:hAnsiTheme="majorHAnsi"/>
                <w:sz w:val="22"/>
                <w:szCs w:val="22"/>
              </w:rPr>
              <w:t>ns apply to existing ponds and</w:t>
            </w:r>
            <w:r w:rsidR="00481A61" w:rsidRPr="00FB0470">
              <w:rPr>
                <w:rFonts w:asciiTheme="majorHAnsi" w:hAnsiTheme="majorHAnsi"/>
                <w:sz w:val="22"/>
                <w:szCs w:val="22"/>
              </w:rPr>
              <w:t xml:space="preserve"> expansions.  Placement is prohibited: w/in 5 feet of groundwater</w:t>
            </w:r>
            <w:r w:rsidR="00B2490E">
              <w:rPr>
                <w:rFonts w:asciiTheme="majorHAnsi" w:hAnsiTheme="majorHAnsi"/>
                <w:sz w:val="22"/>
                <w:szCs w:val="22"/>
              </w:rPr>
              <w:t xml:space="preserve"> aquifers</w:t>
            </w:r>
            <w:r w:rsidR="00481A61" w:rsidRPr="00FB0470">
              <w:rPr>
                <w:rFonts w:asciiTheme="majorHAnsi" w:hAnsiTheme="majorHAnsi"/>
                <w:sz w:val="22"/>
                <w:szCs w:val="22"/>
              </w:rPr>
              <w:t xml:space="preserve">; in wetlands; in fault areas; in seismic impact zones, in floodplains and in unstable areas. Existing landfills are prohibited from unstable areas. Existing ponds that violate location restrictions must cease dumping within 6 months of </w:t>
            </w:r>
            <w:r w:rsidR="00B2490E">
              <w:rPr>
                <w:rFonts w:asciiTheme="majorHAnsi" w:hAnsiTheme="majorHAnsi"/>
                <w:sz w:val="22"/>
                <w:szCs w:val="22"/>
              </w:rPr>
              <w:t xml:space="preserve">the </w:t>
            </w:r>
            <w:r w:rsidR="00481A61" w:rsidRPr="00FB0470">
              <w:rPr>
                <w:rFonts w:asciiTheme="majorHAnsi" w:hAnsiTheme="majorHAnsi"/>
                <w:sz w:val="22"/>
                <w:szCs w:val="22"/>
              </w:rPr>
              <w:t xml:space="preserve">effective date of the requirement and close. §§ 257.60 – 257.64  </w:t>
            </w:r>
          </w:p>
          <w:p w14:paraId="1CCEB3B9" w14:textId="4602986E" w:rsidR="00E97654" w:rsidRPr="00FB0470" w:rsidRDefault="00E97654" w:rsidP="000E23EE">
            <w:pPr>
              <w:rPr>
                <w:rFonts w:asciiTheme="majorHAnsi" w:hAnsiTheme="majorHAnsi"/>
                <w:sz w:val="22"/>
                <w:szCs w:val="22"/>
              </w:rPr>
            </w:pPr>
          </w:p>
        </w:tc>
        <w:tc>
          <w:tcPr>
            <w:tcW w:w="3780" w:type="dxa"/>
          </w:tcPr>
          <w:p w14:paraId="40D18C42" w14:textId="78112409" w:rsidR="00175512" w:rsidRPr="00FB0470" w:rsidRDefault="000B1918" w:rsidP="000E23EE">
            <w:pPr>
              <w:rPr>
                <w:rFonts w:asciiTheme="majorHAnsi" w:hAnsiTheme="majorHAnsi"/>
                <w:sz w:val="22"/>
                <w:szCs w:val="22"/>
                <w:u w:val="single"/>
              </w:rPr>
            </w:pPr>
            <w:r w:rsidRPr="00B2490E">
              <w:rPr>
                <w:rFonts w:asciiTheme="majorHAnsi" w:hAnsiTheme="majorHAnsi"/>
                <w:sz w:val="22"/>
                <w:szCs w:val="22"/>
                <w:u w:val="single"/>
              </w:rPr>
              <w:t>NO.</w:t>
            </w:r>
            <w:r>
              <w:rPr>
                <w:rFonts w:asciiTheme="majorHAnsi" w:hAnsiTheme="majorHAnsi"/>
                <w:sz w:val="22"/>
                <w:szCs w:val="22"/>
              </w:rPr>
              <w:t xml:space="preserve"> </w:t>
            </w:r>
            <w:r w:rsidR="00B2490E">
              <w:rPr>
                <w:rFonts w:asciiTheme="majorHAnsi" w:hAnsiTheme="majorHAnsi"/>
                <w:sz w:val="22"/>
                <w:szCs w:val="22"/>
              </w:rPr>
              <w:t xml:space="preserve"> Siting p</w:t>
            </w:r>
            <w:r w:rsidR="00481A61" w:rsidRPr="00FB0470">
              <w:rPr>
                <w:rFonts w:asciiTheme="majorHAnsi" w:hAnsiTheme="majorHAnsi"/>
                <w:sz w:val="22"/>
                <w:szCs w:val="22"/>
              </w:rPr>
              <w:t>rohibition</w:t>
            </w:r>
            <w:r w:rsidR="00800E45">
              <w:rPr>
                <w:rFonts w:asciiTheme="majorHAnsi" w:hAnsiTheme="majorHAnsi"/>
                <w:sz w:val="22"/>
                <w:szCs w:val="22"/>
              </w:rPr>
              <w:t>s only apply</w:t>
            </w:r>
            <w:r w:rsidR="00B2490E">
              <w:rPr>
                <w:rFonts w:asciiTheme="majorHAnsi" w:hAnsiTheme="majorHAnsi"/>
                <w:sz w:val="22"/>
                <w:szCs w:val="22"/>
              </w:rPr>
              <w:t xml:space="preserve"> to unstable areas and floodplains</w:t>
            </w:r>
            <w:r w:rsidR="00481A61" w:rsidRPr="00FB0470">
              <w:rPr>
                <w:rFonts w:asciiTheme="majorHAnsi" w:hAnsiTheme="majorHAnsi"/>
                <w:sz w:val="22"/>
                <w:szCs w:val="22"/>
              </w:rPr>
              <w:t xml:space="preserve">.  There is </w:t>
            </w:r>
            <w:r w:rsidR="00481A61" w:rsidRPr="00FB0470">
              <w:rPr>
                <w:rFonts w:asciiTheme="majorHAnsi" w:hAnsiTheme="majorHAnsi"/>
                <w:sz w:val="22"/>
                <w:szCs w:val="22"/>
                <w:u w:val="single"/>
              </w:rPr>
              <w:t xml:space="preserve">NO </w:t>
            </w:r>
            <w:r w:rsidR="00B2490E">
              <w:rPr>
                <w:rFonts w:asciiTheme="majorHAnsi" w:hAnsiTheme="majorHAnsi"/>
                <w:sz w:val="22"/>
                <w:szCs w:val="22"/>
                <w:u w:val="single"/>
              </w:rPr>
              <w:t>prohibition against placing coal ash directly into a drinking water source</w:t>
            </w:r>
            <w:r w:rsidR="00B2490E" w:rsidRPr="00B2490E">
              <w:rPr>
                <w:rFonts w:asciiTheme="majorHAnsi" w:hAnsiTheme="majorHAnsi"/>
                <w:sz w:val="22"/>
                <w:szCs w:val="22"/>
              </w:rPr>
              <w:t>. Coal ash p</w:t>
            </w:r>
            <w:r w:rsidR="00481A61" w:rsidRPr="00B2490E">
              <w:rPr>
                <w:rFonts w:asciiTheme="majorHAnsi" w:hAnsiTheme="majorHAnsi"/>
                <w:sz w:val="22"/>
                <w:szCs w:val="22"/>
              </w:rPr>
              <w:t>onds currently constructed in a drinking water aquifer can continue to accept waste indefinitely.</w:t>
            </w:r>
          </w:p>
          <w:p w14:paraId="41FEA7D4" w14:textId="77777777" w:rsidR="00175512" w:rsidRPr="00FB0470" w:rsidRDefault="00481A61" w:rsidP="000E23EE">
            <w:pPr>
              <w:rPr>
                <w:rFonts w:asciiTheme="majorHAnsi" w:hAnsiTheme="majorHAnsi"/>
                <w:sz w:val="22"/>
                <w:szCs w:val="22"/>
              </w:rPr>
            </w:pPr>
            <w:r w:rsidRPr="00FB0470">
              <w:rPr>
                <w:rFonts w:asciiTheme="majorHAnsi" w:hAnsiTheme="majorHAnsi"/>
                <w:sz w:val="22"/>
                <w:szCs w:val="22"/>
              </w:rPr>
              <w:t>§ 4011(c)(E)</w:t>
            </w:r>
          </w:p>
        </w:tc>
      </w:tr>
      <w:tr w:rsidR="00175512" w:rsidRPr="00FB0470" w14:paraId="30E113AA" w14:textId="77777777" w:rsidTr="000E23EE">
        <w:tc>
          <w:tcPr>
            <w:tcW w:w="0" w:type="auto"/>
          </w:tcPr>
          <w:p w14:paraId="0DC2C58A" w14:textId="17B43795" w:rsidR="00175512" w:rsidRPr="00FB0470" w:rsidRDefault="00800E45" w:rsidP="00800E45">
            <w:pPr>
              <w:rPr>
                <w:rFonts w:asciiTheme="majorHAnsi" w:hAnsiTheme="majorHAnsi"/>
                <w:b/>
                <w:sz w:val="22"/>
                <w:szCs w:val="22"/>
              </w:rPr>
            </w:pPr>
            <w:r>
              <w:rPr>
                <w:rFonts w:asciiTheme="majorHAnsi" w:hAnsiTheme="majorHAnsi"/>
                <w:b/>
                <w:sz w:val="22"/>
                <w:szCs w:val="22"/>
              </w:rPr>
              <w:t xml:space="preserve">Requirement to close </w:t>
            </w:r>
            <w:r w:rsidR="00481A61" w:rsidRPr="00FB0470">
              <w:rPr>
                <w:rFonts w:asciiTheme="majorHAnsi" w:hAnsiTheme="majorHAnsi"/>
                <w:b/>
                <w:sz w:val="22"/>
                <w:szCs w:val="22"/>
              </w:rPr>
              <w:t xml:space="preserve"> inactive </w:t>
            </w:r>
            <w:r>
              <w:rPr>
                <w:rFonts w:asciiTheme="majorHAnsi" w:hAnsiTheme="majorHAnsi"/>
                <w:b/>
                <w:sz w:val="22"/>
                <w:szCs w:val="22"/>
              </w:rPr>
              <w:t xml:space="preserve">(legacy) ponds </w:t>
            </w:r>
            <w:r w:rsidR="00481A61" w:rsidRPr="00FB0470">
              <w:rPr>
                <w:rFonts w:asciiTheme="majorHAnsi" w:hAnsiTheme="majorHAnsi"/>
                <w:b/>
                <w:sz w:val="22"/>
                <w:szCs w:val="22"/>
              </w:rPr>
              <w:t>at power-producing sites</w:t>
            </w:r>
            <w:r w:rsidR="000B1918">
              <w:rPr>
                <w:rFonts w:asciiTheme="majorHAnsi" w:hAnsiTheme="majorHAnsi"/>
                <w:b/>
                <w:sz w:val="22"/>
                <w:szCs w:val="22"/>
              </w:rPr>
              <w:t xml:space="preserve"> within 3 years or </w:t>
            </w:r>
            <w:r>
              <w:rPr>
                <w:rFonts w:asciiTheme="majorHAnsi" w:hAnsiTheme="majorHAnsi"/>
                <w:b/>
                <w:sz w:val="22"/>
                <w:szCs w:val="22"/>
              </w:rPr>
              <w:t xml:space="preserve">the </w:t>
            </w:r>
            <w:r w:rsidR="000B1918">
              <w:rPr>
                <w:rFonts w:asciiTheme="majorHAnsi" w:hAnsiTheme="majorHAnsi"/>
                <w:b/>
                <w:sz w:val="22"/>
                <w:szCs w:val="22"/>
              </w:rPr>
              <w:t>ponds are subject to all safety requirements</w:t>
            </w:r>
          </w:p>
        </w:tc>
        <w:tc>
          <w:tcPr>
            <w:tcW w:w="3113" w:type="dxa"/>
          </w:tcPr>
          <w:p w14:paraId="04210A4A" w14:textId="5AEDD265" w:rsidR="00175512" w:rsidRPr="00FB0470" w:rsidRDefault="000B1918" w:rsidP="000E23EE">
            <w:pPr>
              <w:rPr>
                <w:rFonts w:asciiTheme="majorHAnsi" w:hAnsiTheme="majorHAnsi"/>
                <w:sz w:val="22"/>
                <w:szCs w:val="22"/>
              </w:rPr>
            </w:pPr>
            <w:r w:rsidRPr="00B2490E">
              <w:rPr>
                <w:rFonts w:asciiTheme="majorHAnsi" w:hAnsiTheme="majorHAnsi"/>
                <w:sz w:val="22"/>
                <w:szCs w:val="22"/>
                <w:u w:val="single"/>
              </w:rPr>
              <w:t>YES</w:t>
            </w:r>
            <w:r>
              <w:rPr>
                <w:rFonts w:asciiTheme="majorHAnsi" w:hAnsiTheme="majorHAnsi"/>
                <w:sz w:val="22"/>
                <w:szCs w:val="22"/>
              </w:rPr>
              <w:t xml:space="preserve">. </w:t>
            </w:r>
            <w:r w:rsidR="00481A61" w:rsidRPr="00FB0470">
              <w:rPr>
                <w:rFonts w:asciiTheme="majorHAnsi" w:hAnsiTheme="majorHAnsi"/>
                <w:sz w:val="22"/>
                <w:szCs w:val="22"/>
              </w:rPr>
              <w:t xml:space="preserve">Inactive ponds must close within 3 years. If </w:t>
            </w:r>
            <w:r w:rsidR="00800E45">
              <w:rPr>
                <w:rFonts w:asciiTheme="majorHAnsi" w:hAnsiTheme="majorHAnsi"/>
                <w:sz w:val="22"/>
                <w:szCs w:val="22"/>
              </w:rPr>
              <w:t xml:space="preserve">a </w:t>
            </w:r>
            <w:r w:rsidR="00481A61" w:rsidRPr="00FB0470">
              <w:rPr>
                <w:rFonts w:asciiTheme="majorHAnsi" w:hAnsiTheme="majorHAnsi"/>
                <w:sz w:val="22"/>
                <w:szCs w:val="22"/>
              </w:rPr>
              <w:t xml:space="preserve">pond is not closed w/in 3 years, </w:t>
            </w:r>
            <w:r w:rsidR="00E97654">
              <w:rPr>
                <w:rFonts w:asciiTheme="majorHAnsi" w:hAnsiTheme="majorHAnsi"/>
                <w:sz w:val="22"/>
                <w:szCs w:val="22"/>
              </w:rPr>
              <w:t xml:space="preserve">the pond </w:t>
            </w:r>
            <w:r w:rsidR="00481A61" w:rsidRPr="00FB0470">
              <w:rPr>
                <w:rFonts w:asciiTheme="majorHAnsi" w:hAnsiTheme="majorHAnsi"/>
                <w:sz w:val="22"/>
                <w:szCs w:val="22"/>
              </w:rPr>
              <w:t xml:space="preserve"> is subject to </w:t>
            </w:r>
            <w:r w:rsidR="00800E45">
              <w:rPr>
                <w:rFonts w:asciiTheme="majorHAnsi" w:hAnsiTheme="majorHAnsi"/>
                <w:sz w:val="22"/>
                <w:szCs w:val="22"/>
              </w:rPr>
              <w:t xml:space="preserve">the </w:t>
            </w:r>
            <w:r w:rsidR="00E97654">
              <w:rPr>
                <w:rFonts w:asciiTheme="majorHAnsi" w:hAnsiTheme="majorHAnsi"/>
                <w:sz w:val="22"/>
                <w:szCs w:val="22"/>
              </w:rPr>
              <w:t>full set of  requirements, including</w:t>
            </w:r>
            <w:r w:rsidR="00481A61" w:rsidRPr="00FB0470">
              <w:rPr>
                <w:rFonts w:asciiTheme="majorHAnsi" w:hAnsiTheme="majorHAnsi"/>
                <w:sz w:val="22"/>
                <w:szCs w:val="22"/>
              </w:rPr>
              <w:t xml:space="preserve"> groundwater monitoring and cleanup.  </w:t>
            </w:r>
          </w:p>
          <w:p w14:paraId="32B52938" w14:textId="4EE9097B" w:rsidR="00175512" w:rsidRDefault="00A01214" w:rsidP="000E23EE">
            <w:pPr>
              <w:rPr>
                <w:rFonts w:asciiTheme="majorHAnsi" w:hAnsiTheme="majorHAnsi"/>
                <w:sz w:val="22"/>
                <w:szCs w:val="22"/>
              </w:rPr>
            </w:pPr>
            <w:r>
              <w:rPr>
                <w:rFonts w:asciiTheme="majorHAnsi" w:hAnsiTheme="majorHAnsi"/>
                <w:sz w:val="22"/>
                <w:szCs w:val="22"/>
              </w:rPr>
              <w:t>§</w:t>
            </w:r>
            <w:r w:rsidR="00481A61" w:rsidRPr="00FB0470">
              <w:rPr>
                <w:rFonts w:asciiTheme="majorHAnsi" w:hAnsiTheme="majorHAnsi"/>
                <w:sz w:val="22"/>
                <w:szCs w:val="22"/>
              </w:rPr>
              <w:t>§ 257.101(b)(2), 257.73 (f)(4)</w:t>
            </w:r>
          </w:p>
          <w:p w14:paraId="0294737B" w14:textId="77777777" w:rsidR="00E97654" w:rsidRPr="00FB0470" w:rsidRDefault="00E97654" w:rsidP="000E23EE">
            <w:pPr>
              <w:rPr>
                <w:rFonts w:asciiTheme="majorHAnsi" w:hAnsiTheme="majorHAnsi"/>
                <w:sz w:val="22"/>
                <w:szCs w:val="22"/>
              </w:rPr>
            </w:pPr>
          </w:p>
        </w:tc>
        <w:tc>
          <w:tcPr>
            <w:tcW w:w="3780" w:type="dxa"/>
          </w:tcPr>
          <w:p w14:paraId="141EEAD0" w14:textId="41235076" w:rsidR="00175512" w:rsidRPr="00FB0470" w:rsidRDefault="000B1918" w:rsidP="000E23EE">
            <w:pPr>
              <w:rPr>
                <w:rFonts w:asciiTheme="majorHAnsi" w:hAnsiTheme="majorHAnsi"/>
                <w:sz w:val="22"/>
                <w:szCs w:val="22"/>
              </w:rPr>
            </w:pPr>
            <w:r w:rsidRPr="00B2490E">
              <w:rPr>
                <w:rFonts w:asciiTheme="majorHAnsi" w:hAnsiTheme="majorHAnsi"/>
                <w:sz w:val="22"/>
                <w:szCs w:val="22"/>
                <w:u w:val="single"/>
              </w:rPr>
              <w:t>NO</w:t>
            </w:r>
            <w:r>
              <w:rPr>
                <w:rFonts w:asciiTheme="majorHAnsi" w:hAnsiTheme="majorHAnsi"/>
                <w:sz w:val="22"/>
                <w:szCs w:val="22"/>
              </w:rPr>
              <w:t xml:space="preserve">. </w:t>
            </w:r>
            <w:r w:rsidR="00481A61" w:rsidRPr="00FB0470">
              <w:rPr>
                <w:rFonts w:asciiTheme="majorHAnsi" w:hAnsiTheme="majorHAnsi"/>
                <w:sz w:val="22"/>
                <w:szCs w:val="22"/>
              </w:rPr>
              <w:t>Inactive pon</w:t>
            </w:r>
            <w:r w:rsidR="00E97654">
              <w:rPr>
                <w:rFonts w:asciiTheme="majorHAnsi" w:hAnsiTheme="majorHAnsi"/>
                <w:sz w:val="22"/>
                <w:szCs w:val="22"/>
              </w:rPr>
              <w:t xml:space="preserve">ds </w:t>
            </w:r>
            <w:r w:rsidR="00800E45">
              <w:rPr>
                <w:rFonts w:asciiTheme="majorHAnsi" w:hAnsiTheme="majorHAnsi"/>
                <w:sz w:val="22"/>
                <w:szCs w:val="22"/>
              </w:rPr>
              <w:t xml:space="preserve">have 3-5 years to close. </w:t>
            </w:r>
            <w:r w:rsidR="00481A61" w:rsidRPr="00FB0470">
              <w:rPr>
                <w:rFonts w:asciiTheme="majorHAnsi" w:hAnsiTheme="majorHAnsi"/>
                <w:sz w:val="22"/>
                <w:szCs w:val="22"/>
              </w:rPr>
              <w:t xml:space="preserve">If </w:t>
            </w:r>
            <w:r w:rsidR="00800E45">
              <w:rPr>
                <w:rFonts w:asciiTheme="majorHAnsi" w:hAnsiTheme="majorHAnsi"/>
                <w:sz w:val="22"/>
                <w:szCs w:val="22"/>
              </w:rPr>
              <w:t xml:space="preserve">the </w:t>
            </w:r>
            <w:r w:rsidR="00481A61" w:rsidRPr="00FB0470">
              <w:rPr>
                <w:rFonts w:asciiTheme="majorHAnsi" w:hAnsiTheme="majorHAnsi"/>
                <w:sz w:val="22"/>
                <w:szCs w:val="22"/>
              </w:rPr>
              <w:t xml:space="preserve">owner/operator does not meet </w:t>
            </w:r>
            <w:r w:rsidR="00800E45">
              <w:rPr>
                <w:rFonts w:asciiTheme="majorHAnsi" w:hAnsiTheme="majorHAnsi"/>
                <w:sz w:val="22"/>
                <w:szCs w:val="22"/>
              </w:rPr>
              <w:t xml:space="preserve">the </w:t>
            </w:r>
            <w:r w:rsidR="00481A61" w:rsidRPr="00FB0470">
              <w:rPr>
                <w:rFonts w:asciiTheme="majorHAnsi" w:hAnsiTheme="majorHAnsi"/>
                <w:sz w:val="22"/>
                <w:szCs w:val="22"/>
              </w:rPr>
              <w:t xml:space="preserve">5-year closure deadline, there are NO </w:t>
            </w:r>
            <w:proofErr w:type="spellStart"/>
            <w:r w:rsidR="00481A61" w:rsidRPr="00FB0470">
              <w:rPr>
                <w:rFonts w:asciiTheme="majorHAnsi" w:hAnsiTheme="majorHAnsi"/>
                <w:sz w:val="22"/>
                <w:szCs w:val="22"/>
              </w:rPr>
              <w:t>req’ts</w:t>
            </w:r>
            <w:proofErr w:type="spellEnd"/>
            <w:r w:rsidR="00481A61" w:rsidRPr="00FB0470">
              <w:rPr>
                <w:rFonts w:asciiTheme="majorHAnsi" w:hAnsiTheme="majorHAnsi"/>
                <w:sz w:val="22"/>
                <w:szCs w:val="22"/>
              </w:rPr>
              <w:t xml:space="preserve"> that apply to the pond (no structural stability standards, inspectio</w:t>
            </w:r>
            <w:r w:rsidR="00C142A4">
              <w:rPr>
                <w:rFonts w:asciiTheme="majorHAnsi" w:hAnsiTheme="majorHAnsi"/>
                <w:sz w:val="22"/>
                <w:szCs w:val="22"/>
              </w:rPr>
              <w:t xml:space="preserve">ns, etc.) for an indefinite period of time. </w:t>
            </w:r>
          </w:p>
          <w:p w14:paraId="0122D8BA" w14:textId="19CC5723" w:rsidR="00175512" w:rsidRPr="00FB0470" w:rsidRDefault="00E34E35" w:rsidP="000E23EE">
            <w:pPr>
              <w:rPr>
                <w:rFonts w:asciiTheme="majorHAnsi" w:hAnsiTheme="majorHAnsi"/>
                <w:sz w:val="22"/>
                <w:szCs w:val="22"/>
              </w:rPr>
            </w:pPr>
            <w:r>
              <w:rPr>
                <w:rFonts w:asciiTheme="majorHAnsi" w:hAnsiTheme="majorHAnsi"/>
                <w:sz w:val="22"/>
                <w:szCs w:val="22"/>
              </w:rPr>
              <w:t>§§ 4011(c</w:t>
            </w:r>
            <w:r w:rsidR="00481A61" w:rsidRPr="00FB0470">
              <w:rPr>
                <w:rFonts w:asciiTheme="majorHAnsi" w:hAnsiTheme="majorHAnsi"/>
                <w:sz w:val="22"/>
                <w:szCs w:val="22"/>
              </w:rPr>
              <w:t>)(4), 4011(C)(4)(D)</w:t>
            </w:r>
          </w:p>
        </w:tc>
      </w:tr>
      <w:tr w:rsidR="00E34E35" w:rsidRPr="00FB0470" w14:paraId="607BF310" w14:textId="77777777" w:rsidTr="000E23EE">
        <w:tc>
          <w:tcPr>
            <w:tcW w:w="0" w:type="auto"/>
          </w:tcPr>
          <w:p w14:paraId="01B75234" w14:textId="5D1D8BCC" w:rsidR="00E34E35" w:rsidRPr="00FB0470" w:rsidRDefault="00E34E35" w:rsidP="000E23EE">
            <w:pPr>
              <w:rPr>
                <w:rFonts w:asciiTheme="majorHAnsi" w:hAnsiTheme="majorHAnsi"/>
                <w:b/>
                <w:sz w:val="22"/>
                <w:szCs w:val="22"/>
              </w:rPr>
            </w:pPr>
            <w:r>
              <w:rPr>
                <w:rFonts w:asciiTheme="majorHAnsi" w:hAnsiTheme="majorHAnsi"/>
                <w:b/>
                <w:sz w:val="22"/>
                <w:szCs w:val="22"/>
              </w:rPr>
              <w:t>G</w:t>
            </w:r>
            <w:r w:rsidR="000B1918">
              <w:rPr>
                <w:rFonts w:asciiTheme="majorHAnsi" w:hAnsiTheme="majorHAnsi"/>
                <w:b/>
                <w:sz w:val="22"/>
                <w:szCs w:val="22"/>
              </w:rPr>
              <w:t xml:space="preserve">roundwater monitoring systems </w:t>
            </w:r>
            <w:r w:rsidR="00A01214">
              <w:rPr>
                <w:rFonts w:asciiTheme="majorHAnsi" w:hAnsiTheme="majorHAnsi"/>
                <w:b/>
                <w:sz w:val="22"/>
                <w:szCs w:val="22"/>
              </w:rPr>
              <w:t>must</w:t>
            </w:r>
            <w:r>
              <w:rPr>
                <w:rFonts w:asciiTheme="majorHAnsi" w:hAnsiTheme="majorHAnsi"/>
                <w:b/>
                <w:sz w:val="22"/>
                <w:szCs w:val="22"/>
              </w:rPr>
              <w:t xml:space="preserve"> ensure groundwater is not contaminated by coal ash </w:t>
            </w:r>
          </w:p>
        </w:tc>
        <w:tc>
          <w:tcPr>
            <w:tcW w:w="3113" w:type="dxa"/>
          </w:tcPr>
          <w:p w14:paraId="70D93DE0" w14:textId="4B027510" w:rsidR="00E34E35" w:rsidRPr="00FB0470" w:rsidRDefault="000B1918" w:rsidP="000E23EE">
            <w:pPr>
              <w:rPr>
                <w:rFonts w:asciiTheme="majorHAnsi" w:hAnsiTheme="majorHAnsi"/>
                <w:sz w:val="22"/>
                <w:szCs w:val="22"/>
              </w:rPr>
            </w:pPr>
            <w:r w:rsidRPr="00B2490E">
              <w:rPr>
                <w:rFonts w:asciiTheme="majorHAnsi" w:hAnsiTheme="majorHAnsi"/>
                <w:sz w:val="22"/>
                <w:szCs w:val="22"/>
                <w:u w:val="single"/>
              </w:rPr>
              <w:t>YES.</w:t>
            </w:r>
            <w:r>
              <w:rPr>
                <w:rFonts w:asciiTheme="majorHAnsi" w:hAnsiTheme="majorHAnsi"/>
                <w:sz w:val="22"/>
                <w:szCs w:val="22"/>
              </w:rPr>
              <w:t xml:space="preserve"> </w:t>
            </w:r>
            <w:r w:rsidR="00E34E35">
              <w:rPr>
                <w:rFonts w:asciiTheme="majorHAnsi" w:hAnsiTheme="majorHAnsi"/>
                <w:sz w:val="22"/>
                <w:szCs w:val="22"/>
              </w:rPr>
              <w:t xml:space="preserve">Owners and operators of landfills and ponds must monitor groundwater at the </w:t>
            </w:r>
            <w:r w:rsidR="00E34E35" w:rsidRPr="00E34E35">
              <w:rPr>
                <w:rFonts w:asciiTheme="majorHAnsi" w:hAnsiTheme="majorHAnsi"/>
                <w:sz w:val="22"/>
                <w:szCs w:val="22"/>
                <w:u w:val="single"/>
              </w:rPr>
              <w:t>boundary of the waste unit</w:t>
            </w:r>
            <w:r w:rsidR="00E34E35">
              <w:rPr>
                <w:rFonts w:asciiTheme="majorHAnsi" w:hAnsiTheme="majorHAnsi"/>
                <w:sz w:val="22"/>
                <w:szCs w:val="22"/>
              </w:rPr>
              <w:t xml:space="preserve"> to ensu</w:t>
            </w:r>
            <w:r w:rsidR="00241B86">
              <w:rPr>
                <w:rFonts w:asciiTheme="majorHAnsi" w:hAnsiTheme="majorHAnsi"/>
                <w:sz w:val="22"/>
                <w:szCs w:val="22"/>
              </w:rPr>
              <w:t>re that leaks are immediately detected and that contamination is</w:t>
            </w:r>
            <w:r w:rsidR="00E34E35">
              <w:rPr>
                <w:rFonts w:asciiTheme="majorHAnsi" w:hAnsiTheme="majorHAnsi"/>
                <w:sz w:val="22"/>
                <w:szCs w:val="22"/>
              </w:rPr>
              <w:t xml:space="preserve"> addressed</w:t>
            </w:r>
            <w:r w:rsidR="00241B86">
              <w:rPr>
                <w:rFonts w:asciiTheme="majorHAnsi" w:hAnsiTheme="majorHAnsi"/>
                <w:sz w:val="22"/>
                <w:szCs w:val="22"/>
              </w:rPr>
              <w:t xml:space="preserve"> at once.</w:t>
            </w:r>
          </w:p>
        </w:tc>
        <w:tc>
          <w:tcPr>
            <w:tcW w:w="3780" w:type="dxa"/>
          </w:tcPr>
          <w:p w14:paraId="037FBF99" w14:textId="77777777" w:rsidR="00A01214" w:rsidRDefault="000B1918" w:rsidP="000E23EE">
            <w:pPr>
              <w:rPr>
                <w:rFonts w:asciiTheme="majorHAnsi" w:hAnsiTheme="majorHAnsi"/>
                <w:sz w:val="22"/>
                <w:szCs w:val="22"/>
              </w:rPr>
            </w:pPr>
            <w:r w:rsidRPr="00B2490E">
              <w:rPr>
                <w:rFonts w:asciiTheme="majorHAnsi" w:hAnsiTheme="majorHAnsi"/>
                <w:sz w:val="22"/>
                <w:szCs w:val="22"/>
                <w:u w:val="single"/>
              </w:rPr>
              <w:t>NO</w:t>
            </w:r>
            <w:r>
              <w:rPr>
                <w:rFonts w:asciiTheme="majorHAnsi" w:hAnsiTheme="majorHAnsi"/>
                <w:sz w:val="22"/>
                <w:szCs w:val="22"/>
              </w:rPr>
              <w:t xml:space="preserve">. </w:t>
            </w:r>
            <w:r w:rsidR="00E34E35">
              <w:rPr>
                <w:rFonts w:asciiTheme="majorHAnsi" w:hAnsiTheme="majorHAnsi"/>
                <w:sz w:val="22"/>
                <w:szCs w:val="22"/>
              </w:rPr>
              <w:t xml:space="preserve">States can allow owners and operators to establish an “alternate compliance boundary” where wells are placed distant from the waste unit, thus allowing groundwater contamination to occur, without the need for </w:t>
            </w:r>
            <w:r w:rsidR="00A01214">
              <w:rPr>
                <w:rFonts w:asciiTheme="majorHAnsi" w:hAnsiTheme="majorHAnsi"/>
                <w:sz w:val="22"/>
                <w:szCs w:val="22"/>
              </w:rPr>
              <w:t xml:space="preserve">immediate </w:t>
            </w:r>
            <w:r w:rsidR="00E34E35">
              <w:rPr>
                <w:rFonts w:asciiTheme="majorHAnsi" w:hAnsiTheme="majorHAnsi"/>
                <w:sz w:val="22"/>
                <w:szCs w:val="22"/>
              </w:rPr>
              <w:t xml:space="preserve">cleanup. </w:t>
            </w:r>
          </w:p>
          <w:p w14:paraId="5927A1ED" w14:textId="56E61391" w:rsidR="00E34E35" w:rsidRDefault="00E34E35" w:rsidP="000E23EE">
            <w:pPr>
              <w:rPr>
                <w:rFonts w:asciiTheme="majorHAnsi" w:hAnsiTheme="majorHAnsi"/>
                <w:sz w:val="22"/>
                <w:szCs w:val="22"/>
              </w:rPr>
            </w:pPr>
            <w:r>
              <w:rPr>
                <w:rFonts w:asciiTheme="majorHAnsi" w:hAnsiTheme="majorHAnsi"/>
                <w:sz w:val="22"/>
                <w:szCs w:val="22"/>
              </w:rPr>
              <w:t>§ 4011(c)(2)(B)(ii)(I)</w:t>
            </w:r>
          </w:p>
        </w:tc>
      </w:tr>
      <w:tr w:rsidR="00175512" w:rsidRPr="00FB0470" w14:paraId="728D07D8" w14:textId="77777777" w:rsidTr="000E23EE">
        <w:tc>
          <w:tcPr>
            <w:tcW w:w="0" w:type="auto"/>
          </w:tcPr>
          <w:p w14:paraId="45BC2E29" w14:textId="0E6CD659" w:rsidR="00175512" w:rsidRPr="00FB0470" w:rsidRDefault="00481A61" w:rsidP="000E23EE">
            <w:pPr>
              <w:rPr>
                <w:rFonts w:asciiTheme="majorHAnsi" w:hAnsiTheme="majorHAnsi"/>
                <w:b/>
                <w:sz w:val="22"/>
                <w:szCs w:val="22"/>
              </w:rPr>
            </w:pPr>
            <w:r w:rsidRPr="00FB0470">
              <w:rPr>
                <w:rFonts w:asciiTheme="majorHAnsi" w:hAnsiTheme="majorHAnsi"/>
                <w:b/>
                <w:sz w:val="22"/>
                <w:szCs w:val="22"/>
              </w:rPr>
              <w:t>Groundwater monitoring</w:t>
            </w:r>
            <w:r w:rsidR="00955066">
              <w:rPr>
                <w:rFonts w:asciiTheme="majorHAnsi" w:hAnsiTheme="majorHAnsi"/>
                <w:b/>
                <w:sz w:val="22"/>
                <w:szCs w:val="22"/>
              </w:rPr>
              <w:t xml:space="preserve"> and cleanup</w:t>
            </w:r>
            <w:r w:rsidRPr="00FB0470">
              <w:rPr>
                <w:rFonts w:asciiTheme="majorHAnsi" w:hAnsiTheme="majorHAnsi"/>
                <w:b/>
                <w:sz w:val="22"/>
                <w:szCs w:val="22"/>
              </w:rPr>
              <w:t xml:space="preserve"> </w:t>
            </w:r>
          </w:p>
          <w:p w14:paraId="5F43B239" w14:textId="224D03A3" w:rsidR="00175512" w:rsidRPr="00FB0470" w:rsidRDefault="000B1918" w:rsidP="000E23EE">
            <w:pPr>
              <w:rPr>
                <w:rFonts w:asciiTheme="majorHAnsi" w:hAnsiTheme="majorHAnsi"/>
                <w:b/>
                <w:sz w:val="22"/>
                <w:szCs w:val="22"/>
              </w:rPr>
            </w:pPr>
            <w:r>
              <w:rPr>
                <w:rFonts w:asciiTheme="majorHAnsi" w:hAnsiTheme="majorHAnsi"/>
                <w:b/>
                <w:sz w:val="22"/>
                <w:szCs w:val="22"/>
              </w:rPr>
              <w:t>r</w:t>
            </w:r>
            <w:r w:rsidR="00481A61" w:rsidRPr="00FB0470">
              <w:rPr>
                <w:rFonts w:asciiTheme="majorHAnsi" w:hAnsiTheme="majorHAnsi"/>
                <w:b/>
                <w:sz w:val="22"/>
                <w:szCs w:val="22"/>
              </w:rPr>
              <w:t>equirements</w:t>
            </w:r>
            <w:r>
              <w:rPr>
                <w:rFonts w:asciiTheme="majorHAnsi" w:hAnsiTheme="majorHAnsi"/>
                <w:b/>
                <w:sz w:val="22"/>
                <w:szCs w:val="22"/>
              </w:rPr>
              <w:t xml:space="preserve"> are consistent nationwide</w:t>
            </w:r>
          </w:p>
        </w:tc>
        <w:tc>
          <w:tcPr>
            <w:tcW w:w="3113" w:type="dxa"/>
          </w:tcPr>
          <w:p w14:paraId="43191644" w14:textId="1E8075C9" w:rsidR="00175512" w:rsidRPr="00FB0470" w:rsidRDefault="000B1918" w:rsidP="000E23EE">
            <w:pPr>
              <w:rPr>
                <w:rFonts w:asciiTheme="majorHAnsi" w:hAnsiTheme="majorHAnsi"/>
                <w:sz w:val="22"/>
                <w:szCs w:val="22"/>
              </w:rPr>
            </w:pPr>
            <w:r w:rsidRPr="00B2490E">
              <w:rPr>
                <w:rFonts w:asciiTheme="majorHAnsi" w:hAnsiTheme="majorHAnsi"/>
                <w:sz w:val="22"/>
                <w:szCs w:val="22"/>
                <w:u w:val="single"/>
              </w:rPr>
              <w:t>YES</w:t>
            </w:r>
            <w:r>
              <w:rPr>
                <w:rFonts w:asciiTheme="majorHAnsi" w:hAnsiTheme="majorHAnsi"/>
                <w:sz w:val="22"/>
                <w:szCs w:val="22"/>
              </w:rPr>
              <w:t xml:space="preserve">. </w:t>
            </w:r>
            <w:r w:rsidR="00241B86">
              <w:rPr>
                <w:rFonts w:asciiTheme="majorHAnsi" w:hAnsiTheme="majorHAnsi"/>
                <w:sz w:val="22"/>
                <w:szCs w:val="22"/>
              </w:rPr>
              <w:t xml:space="preserve">Every state has </w:t>
            </w:r>
            <w:r w:rsidR="00481A61" w:rsidRPr="00FB0470">
              <w:rPr>
                <w:rFonts w:asciiTheme="majorHAnsi" w:hAnsiTheme="majorHAnsi"/>
                <w:sz w:val="22"/>
                <w:szCs w:val="22"/>
              </w:rPr>
              <w:t xml:space="preserve">the </w:t>
            </w:r>
            <w:r w:rsidR="00481A61" w:rsidRPr="00610B2A">
              <w:rPr>
                <w:rFonts w:asciiTheme="majorHAnsi" w:hAnsiTheme="majorHAnsi"/>
                <w:sz w:val="22"/>
                <w:szCs w:val="22"/>
                <w:u w:val="single"/>
              </w:rPr>
              <w:t>same level of protection for drinking water</w:t>
            </w:r>
            <w:r w:rsidR="00955066">
              <w:rPr>
                <w:rFonts w:asciiTheme="majorHAnsi" w:hAnsiTheme="majorHAnsi"/>
                <w:sz w:val="22"/>
                <w:szCs w:val="22"/>
              </w:rPr>
              <w:t>, including stringent groundwater monitoring and cleanup requirements</w:t>
            </w:r>
            <w:r w:rsidR="00575C13">
              <w:rPr>
                <w:rFonts w:asciiTheme="majorHAnsi" w:hAnsiTheme="majorHAnsi"/>
                <w:sz w:val="22"/>
                <w:szCs w:val="22"/>
              </w:rPr>
              <w:t xml:space="preserve"> when contamination by coal ash occurs</w:t>
            </w:r>
            <w:r w:rsidR="00955066">
              <w:rPr>
                <w:rFonts w:asciiTheme="majorHAnsi" w:hAnsiTheme="majorHAnsi"/>
                <w:sz w:val="22"/>
                <w:szCs w:val="22"/>
              </w:rPr>
              <w:t xml:space="preserve">. </w:t>
            </w:r>
            <w:r w:rsidR="00481A61" w:rsidRPr="00FB0470">
              <w:rPr>
                <w:rFonts w:asciiTheme="majorHAnsi" w:hAnsiTheme="majorHAnsi"/>
                <w:sz w:val="22"/>
                <w:szCs w:val="22"/>
              </w:rPr>
              <w:t>§ 257.95(h)</w:t>
            </w:r>
          </w:p>
          <w:p w14:paraId="3477F536" w14:textId="77777777" w:rsidR="00175512" w:rsidRPr="00FB0470" w:rsidRDefault="00175512" w:rsidP="000E23EE">
            <w:pPr>
              <w:rPr>
                <w:rFonts w:asciiTheme="majorHAnsi" w:hAnsiTheme="majorHAnsi"/>
                <w:sz w:val="22"/>
                <w:szCs w:val="22"/>
              </w:rPr>
            </w:pPr>
          </w:p>
        </w:tc>
        <w:tc>
          <w:tcPr>
            <w:tcW w:w="3780" w:type="dxa"/>
          </w:tcPr>
          <w:p w14:paraId="490929F1" w14:textId="77777777" w:rsidR="002773C9" w:rsidRDefault="000B1918" w:rsidP="000E23EE">
            <w:pPr>
              <w:rPr>
                <w:rFonts w:asciiTheme="majorHAnsi" w:hAnsiTheme="majorHAnsi"/>
                <w:sz w:val="22"/>
                <w:szCs w:val="22"/>
              </w:rPr>
            </w:pPr>
            <w:r w:rsidRPr="00B2490E">
              <w:rPr>
                <w:rFonts w:asciiTheme="majorHAnsi" w:hAnsiTheme="majorHAnsi"/>
                <w:sz w:val="22"/>
                <w:szCs w:val="22"/>
                <w:u w:val="single"/>
              </w:rPr>
              <w:t>NO</w:t>
            </w:r>
            <w:r>
              <w:rPr>
                <w:rFonts w:asciiTheme="majorHAnsi" w:hAnsiTheme="majorHAnsi"/>
                <w:sz w:val="22"/>
                <w:szCs w:val="22"/>
              </w:rPr>
              <w:t xml:space="preserve">. </w:t>
            </w:r>
            <w:r w:rsidR="00955066">
              <w:rPr>
                <w:rFonts w:asciiTheme="majorHAnsi" w:hAnsiTheme="majorHAnsi"/>
                <w:sz w:val="22"/>
                <w:szCs w:val="22"/>
              </w:rPr>
              <w:t>State</w:t>
            </w:r>
            <w:r w:rsidR="00610B2A">
              <w:rPr>
                <w:rFonts w:asciiTheme="majorHAnsi" w:hAnsiTheme="majorHAnsi"/>
                <w:sz w:val="22"/>
                <w:szCs w:val="22"/>
              </w:rPr>
              <w:t>s can waive</w:t>
            </w:r>
            <w:r w:rsidR="00481A61" w:rsidRPr="00FB0470">
              <w:rPr>
                <w:rFonts w:asciiTheme="majorHAnsi" w:hAnsiTheme="majorHAnsi"/>
                <w:sz w:val="22"/>
                <w:szCs w:val="22"/>
              </w:rPr>
              <w:t xml:space="preserve"> </w:t>
            </w:r>
            <w:r w:rsidR="00A01214">
              <w:rPr>
                <w:rFonts w:asciiTheme="majorHAnsi" w:hAnsiTheme="majorHAnsi"/>
                <w:sz w:val="22"/>
                <w:szCs w:val="22"/>
              </w:rPr>
              <w:t xml:space="preserve">some </w:t>
            </w:r>
            <w:r w:rsidR="00955066">
              <w:rPr>
                <w:rFonts w:asciiTheme="majorHAnsi" w:hAnsiTheme="majorHAnsi"/>
                <w:sz w:val="22"/>
                <w:szCs w:val="22"/>
              </w:rPr>
              <w:t xml:space="preserve">groundwater monitoring </w:t>
            </w:r>
            <w:proofErr w:type="spellStart"/>
            <w:r w:rsidR="00A01214">
              <w:rPr>
                <w:rFonts w:asciiTheme="majorHAnsi" w:hAnsiTheme="majorHAnsi"/>
                <w:sz w:val="22"/>
                <w:szCs w:val="22"/>
              </w:rPr>
              <w:t>req’ts</w:t>
            </w:r>
            <w:proofErr w:type="spellEnd"/>
            <w:r w:rsidR="00A01214">
              <w:rPr>
                <w:rFonts w:asciiTheme="majorHAnsi" w:hAnsiTheme="majorHAnsi"/>
                <w:sz w:val="22"/>
                <w:szCs w:val="22"/>
              </w:rPr>
              <w:t xml:space="preserve"> </w:t>
            </w:r>
            <w:r w:rsidR="00955066">
              <w:rPr>
                <w:rFonts w:asciiTheme="majorHAnsi" w:hAnsiTheme="majorHAnsi"/>
                <w:sz w:val="22"/>
                <w:szCs w:val="22"/>
              </w:rPr>
              <w:t>a</w:t>
            </w:r>
            <w:r w:rsidR="00610B2A">
              <w:rPr>
                <w:rFonts w:asciiTheme="majorHAnsi" w:hAnsiTheme="majorHAnsi"/>
                <w:sz w:val="22"/>
                <w:szCs w:val="22"/>
              </w:rPr>
              <w:t xml:space="preserve">nd </w:t>
            </w:r>
            <w:r w:rsidR="00575C13">
              <w:rPr>
                <w:rFonts w:asciiTheme="majorHAnsi" w:hAnsiTheme="majorHAnsi"/>
                <w:sz w:val="22"/>
                <w:szCs w:val="22"/>
              </w:rPr>
              <w:t xml:space="preserve">completely waive all </w:t>
            </w:r>
            <w:r w:rsidR="00610B2A">
              <w:rPr>
                <w:rFonts w:asciiTheme="majorHAnsi" w:hAnsiTheme="majorHAnsi"/>
                <w:sz w:val="22"/>
                <w:szCs w:val="22"/>
              </w:rPr>
              <w:t>cleanup requirements</w:t>
            </w:r>
            <w:r w:rsidR="00575C13">
              <w:rPr>
                <w:rFonts w:asciiTheme="majorHAnsi" w:hAnsiTheme="majorHAnsi"/>
                <w:sz w:val="22"/>
                <w:szCs w:val="22"/>
              </w:rPr>
              <w:t>:</w:t>
            </w:r>
            <w:r w:rsidR="00610B2A">
              <w:rPr>
                <w:rFonts w:asciiTheme="majorHAnsi" w:hAnsiTheme="majorHAnsi"/>
                <w:sz w:val="22"/>
                <w:szCs w:val="22"/>
              </w:rPr>
              <w:t xml:space="preserve"> </w:t>
            </w:r>
            <w:r w:rsidR="00955066">
              <w:rPr>
                <w:rFonts w:asciiTheme="majorHAnsi" w:hAnsiTheme="majorHAnsi"/>
                <w:sz w:val="22"/>
                <w:szCs w:val="22"/>
              </w:rPr>
              <w:t xml:space="preserve">(1) </w:t>
            </w:r>
            <w:r w:rsidR="00610B2A">
              <w:rPr>
                <w:rFonts w:asciiTheme="majorHAnsi" w:hAnsiTheme="majorHAnsi"/>
                <w:sz w:val="22"/>
                <w:szCs w:val="22"/>
              </w:rPr>
              <w:t xml:space="preserve">for some common </w:t>
            </w:r>
            <w:r w:rsidR="00955066">
              <w:rPr>
                <w:rFonts w:asciiTheme="majorHAnsi" w:hAnsiTheme="majorHAnsi"/>
                <w:sz w:val="22"/>
                <w:szCs w:val="22"/>
              </w:rPr>
              <w:t>coal ash pollutants</w:t>
            </w:r>
            <w:r w:rsidR="006769D1">
              <w:rPr>
                <w:rFonts w:asciiTheme="majorHAnsi" w:hAnsiTheme="majorHAnsi"/>
                <w:sz w:val="22"/>
                <w:szCs w:val="22"/>
              </w:rPr>
              <w:t xml:space="preserve"> (</w:t>
            </w:r>
            <w:proofErr w:type="spellStart"/>
            <w:r w:rsidR="006769D1">
              <w:rPr>
                <w:rFonts w:asciiTheme="majorHAnsi" w:hAnsiTheme="majorHAnsi"/>
                <w:sz w:val="22"/>
                <w:szCs w:val="22"/>
              </w:rPr>
              <w:t>e.g</w:t>
            </w:r>
            <w:proofErr w:type="spellEnd"/>
            <w:r w:rsidR="006769D1">
              <w:rPr>
                <w:rFonts w:asciiTheme="majorHAnsi" w:hAnsiTheme="majorHAnsi"/>
                <w:sz w:val="22"/>
                <w:szCs w:val="22"/>
              </w:rPr>
              <w:t>, boron, molybdenum, manganese, radium 226, radium 228)</w:t>
            </w:r>
            <w:r w:rsidR="00955066">
              <w:rPr>
                <w:rFonts w:asciiTheme="majorHAnsi" w:hAnsiTheme="majorHAnsi"/>
                <w:sz w:val="22"/>
                <w:szCs w:val="22"/>
              </w:rPr>
              <w:t xml:space="preserve">; </w:t>
            </w:r>
            <w:r w:rsidR="0016045B">
              <w:rPr>
                <w:rFonts w:asciiTheme="majorHAnsi" w:hAnsiTheme="majorHAnsi"/>
                <w:sz w:val="22"/>
                <w:szCs w:val="22"/>
              </w:rPr>
              <w:t xml:space="preserve">and </w:t>
            </w:r>
            <w:r w:rsidR="00955066">
              <w:rPr>
                <w:rFonts w:asciiTheme="majorHAnsi" w:hAnsiTheme="majorHAnsi"/>
                <w:sz w:val="22"/>
                <w:szCs w:val="22"/>
              </w:rPr>
              <w:t xml:space="preserve">(2) </w:t>
            </w:r>
            <w:r w:rsidR="00610B2A">
              <w:rPr>
                <w:rFonts w:asciiTheme="majorHAnsi" w:hAnsiTheme="majorHAnsi"/>
                <w:sz w:val="22"/>
                <w:szCs w:val="22"/>
              </w:rPr>
              <w:t xml:space="preserve">when </w:t>
            </w:r>
            <w:r w:rsidR="00575C13">
              <w:rPr>
                <w:rFonts w:asciiTheme="majorHAnsi" w:hAnsiTheme="majorHAnsi"/>
                <w:sz w:val="22"/>
                <w:szCs w:val="22"/>
              </w:rPr>
              <w:t>a State does no</w:t>
            </w:r>
            <w:r w:rsidR="0016045B">
              <w:rPr>
                <w:rFonts w:asciiTheme="majorHAnsi" w:hAnsiTheme="majorHAnsi"/>
                <w:sz w:val="22"/>
                <w:szCs w:val="22"/>
              </w:rPr>
              <w:t>t believe cleanup is necessary.</w:t>
            </w:r>
            <w:r w:rsidR="000E23EE">
              <w:rPr>
                <w:rFonts w:asciiTheme="majorHAnsi" w:hAnsiTheme="majorHAnsi"/>
                <w:sz w:val="22"/>
                <w:szCs w:val="22"/>
              </w:rPr>
              <w:t xml:space="preserve"> </w:t>
            </w:r>
          </w:p>
          <w:p w14:paraId="1A202939" w14:textId="7F9AE155" w:rsidR="00175512" w:rsidRPr="00FB0470" w:rsidRDefault="00481A61" w:rsidP="000E23EE">
            <w:pPr>
              <w:rPr>
                <w:rFonts w:asciiTheme="majorHAnsi" w:hAnsiTheme="majorHAnsi"/>
                <w:sz w:val="22"/>
                <w:szCs w:val="22"/>
              </w:rPr>
            </w:pPr>
            <w:r w:rsidRPr="00FB0470">
              <w:rPr>
                <w:rFonts w:asciiTheme="majorHAnsi" w:hAnsiTheme="majorHAnsi"/>
                <w:sz w:val="22"/>
                <w:szCs w:val="22"/>
              </w:rPr>
              <w:t>§ 4011(c)(2)(B)(ii)(II)</w:t>
            </w:r>
          </w:p>
          <w:p w14:paraId="5EDA2A13" w14:textId="77777777" w:rsidR="00175512" w:rsidRPr="00FB0470" w:rsidRDefault="00481A61" w:rsidP="000E23EE">
            <w:pPr>
              <w:rPr>
                <w:rFonts w:asciiTheme="majorHAnsi" w:hAnsiTheme="majorHAnsi"/>
                <w:sz w:val="22"/>
                <w:szCs w:val="22"/>
              </w:rPr>
            </w:pPr>
            <w:r w:rsidRPr="00FB0470">
              <w:rPr>
                <w:rFonts w:asciiTheme="majorHAnsi" w:hAnsiTheme="majorHAnsi"/>
                <w:sz w:val="22"/>
                <w:szCs w:val="22"/>
              </w:rPr>
              <w:t>§ 4011(c)(2)(B)(ii)(V)</w:t>
            </w:r>
          </w:p>
        </w:tc>
      </w:tr>
    </w:tbl>
    <w:p w14:paraId="345DB923" w14:textId="3396CCBA" w:rsidR="00175512" w:rsidRPr="00FB0470" w:rsidRDefault="00175512" w:rsidP="000E23EE">
      <w:pPr>
        <w:spacing w:line="480" w:lineRule="auto"/>
        <w:ind w:right="360"/>
        <w:rPr>
          <w:rFonts w:asciiTheme="majorHAnsi" w:hAnsiTheme="majorHAnsi"/>
          <w:szCs w:val="48"/>
        </w:rPr>
      </w:pPr>
    </w:p>
    <w:sectPr w:rsidR="00175512" w:rsidRPr="00FB0470">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23ECC" w14:textId="77777777" w:rsidR="00C22BE4" w:rsidRDefault="00C22BE4">
      <w:r>
        <w:separator/>
      </w:r>
    </w:p>
  </w:endnote>
  <w:endnote w:type="continuationSeparator" w:id="0">
    <w:p w14:paraId="6D131D0D" w14:textId="77777777" w:rsidR="00C22BE4" w:rsidRDefault="00C2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KJDDLK+TimesNewRoman">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9C20" w14:textId="77777777" w:rsidR="00C22BE4" w:rsidRDefault="00C22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53E81" w14:textId="77777777" w:rsidR="00C22BE4" w:rsidRDefault="00C22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B80B" w14:textId="77777777" w:rsidR="00C22BE4" w:rsidRDefault="00C22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2C0">
      <w:rPr>
        <w:rStyle w:val="PageNumber"/>
        <w:noProof/>
      </w:rPr>
      <w:t>2</w:t>
    </w:r>
    <w:r>
      <w:rPr>
        <w:rStyle w:val="PageNumber"/>
      </w:rPr>
      <w:fldChar w:fldCharType="end"/>
    </w:r>
  </w:p>
  <w:p w14:paraId="0CD96780" w14:textId="77777777" w:rsidR="00C22BE4" w:rsidRDefault="00C22B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43714" w14:textId="77777777" w:rsidR="00C22BE4" w:rsidRDefault="00C22BE4">
      <w:r>
        <w:separator/>
      </w:r>
    </w:p>
  </w:footnote>
  <w:footnote w:type="continuationSeparator" w:id="0">
    <w:p w14:paraId="09F5302C" w14:textId="77777777" w:rsidR="00C22BE4" w:rsidRDefault="00C22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9FF"/>
    <w:multiLevelType w:val="hybridMultilevel"/>
    <w:tmpl w:val="EA86D714"/>
    <w:lvl w:ilvl="0" w:tplc="B51C6E8C">
      <w:start w:val="1"/>
      <w:numFmt w:val="bullet"/>
      <w:lvlText w:val=""/>
      <w:lvlJc w:val="left"/>
      <w:pPr>
        <w:ind w:left="1080" w:hanging="360"/>
      </w:pPr>
      <w:rPr>
        <w:rFonts w:ascii="Wingdings" w:hAnsi="Wingdings" w:hint="default"/>
      </w:rPr>
    </w:lvl>
    <w:lvl w:ilvl="1" w:tplc="8E26E89E">
      <w:start w:val="1"/>
      <w:numFmt w:val="bullet"/>
      <w:lvlText w:val="o"/>
      <w:lvlJc w:val="left"/>
      <w:pPr>
        <w:ind w:left="1800" w:hanging="360"/>
      </w:pPr>
      <w:rPr>
        <w:rFonts w:ascii="Courier New" w:hAnsi="Courier New" w:cs="Courier New" w:hint="default"/>
      </w:rPr>
    </w:lvl>
    <w:lvl w:ilvl="2" w:tplc="96386C3A">
      <w:start w:val="1"/>
      <w:numFmt w:val="bullet"/>
      <w:lvlText w:val=""/>
      <w:lvlJc w:val="left"/>
      <w:pPr>
        <w:ind w:left="2520" w:hanging="360"/>
      </w:pPr>
      <w:rPr>
        <w:rFonts w:ascii="Wingdings" w:hAnsi="Wingdings" w:hint="default"/>
      </w:rPr>
    </w:lvl>
    <w:lvl w:ilvl="3" w:tplc="4A1223F0">
      <w:start w:val="1"/>
      <w:numFmt w:val="bullet"/>
      <w:lvlText w:val=""/>
      <w:lvlJc w:val="left"/>
      <w:pPr>
        <w:ind w:left="3240" w:hanging="360"/>
      </w:pPr>
      <w:rPr>
        <w:rFonts w:ascii="Symbol" w:hAnsi="Symbol" w:hint="default"/>
      </w:rPr>
    </w:lvl>
    <w:lvl w:ilvl="4" w:tplc="0A8609A6">
      <w:start w:val="1"/>
      <w:numFmt w:val="bullet"/>
      <w:lvlText w:val="o"/>
      <w:lvlJc w:val="left"/>
      <w:pPr>
        <w:ind w:left="3960" w:hanging="360"/>
      </w:pPr>
      <w:rPr>
        <w:rFonts w:ascii="Courier New" w:hAnsi="Courier New" w:cs="Courier New" w:hint="default"/>
      </w:rPr>
    </w:lvl>
    <w:lvl w:ilvl="5" w:tplc="73C01086">
      <w:start w:val="1"/>
      <w:numFmt w:val="bullet"/>
      <w:lvlText w:val=""/>
      <w:lvlJc w:val="left"/>
      <w:pPr>
        <w:ind w:left="4680" w:hanging="360"/>
      </w:pPr>
      <w:rPr>
        <w:rFonts w:ascii="Wingdings" w:hAnsi="Wingdings" w:hint="default"/>
      </w:rPr>
    </w:lvl>
    <w:lvl w:ilvl="6" w:tplc="57524D2E">
      <w:start w:val="1"/>
      <w:numFmt w:val="bullet"/>
      <w:lvlText w:val=""/>
      <w:lvlJc w:val="left"/>
      <w:pPr>
        <w:ind w:left="5400" w:hanging="360"/>
      </w:pPr>
      <w:rPr>
        <w:rFonts w:ascii="Symbol" w:hAnsi="Symbol" w:hint="default"/>
      </w:rPr>
    </w:lvl>
    <w:lvl w:ilvl="7" w:tplc="434ABBFE">
      <w:start w:val="1"/>
      <w:numFmt w:val="bullet"/>
      <w:lvlText w:val="o"/>
      <w:lvlJc w:val="left"/>
      <w:pPr>
        <w:ind w:left="6120" w:hanging="360"/>
      </w:pPr>
      <w:rPr>
        <w:rFonts w:ascii="Courier New" w:hAnsi="Courier New" w:cs="Courier New" w:hint="default"/>
      </w:rPr>
    </w:lvl>
    <w:lvl w:ilvl="8" w:tplc="749AB774">
      <w:start w:val="1"/>
      <w:numFmt w:val="bullet"/>
      <w:lvlText w:val=""/>
      <w:lvlJc w:val="left"/>
      <w:pPr>
        <w:ind w:left="6840" w:hanging="360"/>
      </w:pPr>
      <w:rPr>
        <w:rFonts w:ascii="Wingdings" w:hAnsi="Wingdings" w:hint="default"/>
      </w:rPr>
    </w:lvl>
  </w:abstractNum>
  <w:abstractNum w:abstractNumId="1">
    <w:nsid w:val="071144E9"/>
    <w:multiLevelType w:val="hybridMultilevel"/>
    <w:tmpl w:val="CF9E6B14"/>
    <w:lvl w:ilvl="0" w:tplc="5E0C7B50">
      <w:start w:val="1"/>
      <w:numFmt w:val="upperLetter"/>
      <w:lvlText w:val="%1."/>
      <w:lvlJc w:val="left"/>
      <w:pPr>
        <w:ind w:left="1080" w:hanging="360"/>
      </w:pPr>
      <w:rPr>
        <w:rFonts w:hint="default"/>
      </w:rPr>
    </w:lvl>
    <w:lvl w:ilvl="1" w:tplc="42FE7A3C">
      <w:start w:val="1"/>
      <w:numFmt w:val="lowerLetter"/>
      <w:lvlText w:val="%2."/>
      <w:lvlJc w:val="left"/>
      <w:pPr>
        <w:ind w:left="1800" w:hanging="360"/>
      </w:pPr>
    </w:lvl>
    <w:lvl w:ilvl="2" w:tplc="F52666A2">
      <w:start w:val="1"/>
      <w:numFmt w:val="lowerRoman"/>
      <w:lvlText w:val="%3."/>
      <w:lvlJc w:val="right"/>
      <w:pPr>
        <w:ind w:left="2520" w:hanging="180"/>
      </w:pPr>
    </w:lvl>
    <w:lvl w:ilvl="3" w:tplc="B040237E">
      <w:start w:val="1"/>
      <w:numFmt w:val="decimal"/>
      <w:lvlText w:val="%4."/>
      <w:lvlJc w:val="left"/>
      <w:pPr>
        <w:ind w:left="3240" w:hanging="360"/>
      </w:pPr>
    </w:lvl>
    <w:lvl w:ilvl="4" w:tplc="14F430FE">
      <w:start w:val="1"/>
      <w:numFmt w:val="lowerLetter"/>
      <w:lvlText w:val="%5."/>
      <w:lvlJc w:val="left"/>
      <w:pPr>
        <w:ind w:left="3960" w:hanging="360"/>
      </w:pPr>
    </w:lvl>
    <w:lvl w:ilvl="5" w:tplc="F59C11EC">
      <w:start w:val="1"/>
      <w:numFmt w:val="lowerRoman"/>
      <w:lvlText w:val="%6."/>
      <w:lvlJc w:val="right"/>
      <w:pPr>
        <w:ind w:left="4680" w:hanging="180"/>
      </w:pPr>
    </w:lvl>
    <w:lvl w:ilvl="6" w:tplc="F362860A">
      <w:start w:val="1"/>
      <w:numFmt w:val="decimal"/>
      <w:lvlText w:val="%7."/>
      <w:lvlJc w:val="left"/>
      <w:pPr>
        <w:ind w:left="5400" w:hanging="360"/>
      </w:pPr>
    </w:lvl>
    <w:lvl w:ilvl="7" w:tplc="A9CEE5C4">
      <w:start w:val="1"/>
      <w:numFmt w:val="lowerLetter"/>
      <w:lvlText w:val="%8."/>
      <w:lvlJc w:val="left"/>
      <w:pPr>
        <w:ind w:left="6120" w:hanging="360"/>
      </w:pPr>
    </w:lvl>
    <w:lvl w:ilvl="8" w:tplc="4B6AA8A0">
      <w:start w:val="1"/>
      <w:numFmt w:val="lowerRoman"/>
      <w:lvlText w:val="%9."/>
      <w:lvlJc w:val="right"/>
      <w:pPr>
        <w:ind w:left="6840" w:hanging="180"/>
      </w:pPr>
    </w:lvl>
  </w:abstractNum>
  <w:abstractNum w:abstractNumId="2">
    <w:nsid w:val="0B7416DB"/>
    <w:multiLevelType w:val="hybridMultilevel"/>
    <w:tmpl w:val="F89878E4"/>
    <w:lvl w:ilvl="0" w:tplc="5DE695D0">
      <w:start w:val="1"/>
      <w:numFmt w:val="decimal"/>
      <w:lvlText w:val="%1."/>
      <w:lvlJc w:val="left"/>
      <w:pPr>
        <w:ind w:left="720" w:hanging="360"/>
      </w:pPr>
      <w:rPr>
        <w:rFonts w:hint="default"/>
      </w:rPr>
    </w:lvl>
    <w:lvl w:ilvl="1" w:tplc="DAC412FE">
      <w:start w:val="1"/>
      <w:numFmt w:val="lowerLetter"/>
      <w:lvlText w:val="%2."/>
      <w:lvlJc w:val="left"/>
      <w:pPr>
        <w:ind w:left="1440" w:hanging="360"/>
      </w:pPr>
    </w:lvl>
    <w:lvl w:ilvl="2" w:tplc="FF3E95FE">
      <w:start w:val="1"/>
      <w:numFmt w:val="lowerRoman"/>
      <w:lvlText w:val="%3."/>
      <w:lvlJc w:val="right"/>
      <w:pPr>
        <w:ind w:left="2160" w:hanging="180"/>
      </w:pPr>
    </w:lvl>
    <w:lvl w:ilvl="3" w:tplc="CAA6F7BA">
      <w:start w:val="1"/>
      <w:numFmt w:val="decimal"/>
      <w:lvlText w:val="%4."/>
      <w:lvlJc w:val="left"/>
      <w:pPr>
        <w:ind w:left="2880" w:hanging="360"/>
      </w:pPr>
    </w:lvl>
    <w:lvl w:ilvl="4" w:tplc="45C05E0C">
      <w:start w:val="1"/>
      <w:numFmt w:val="lowerLetter"/>
      <w:lvlText w:val="%5."/>
      <w:lvlJc w:val="left"/>
      <w:pPr>
        <w:ind w:left="3600" w:hanging="360"/>
      </w:pPr>
    </w:lvl>
    <w:lvl w:ilvl="5" w:tplc="63960884">
      <w:start w:val="1"/>
      <w:numFmt w:val="lowerRoman"/>
      <w:lvlText w:val="%6."/>
      <w:lvlJc w:val="right"/>
      <w:pPr>
        <w:ind w:left="4320" w:hanging="180"/>
      </w:pPr>
    </w:lvl>
    <w:lvl w:ilvl="6" w:tplc="30DA631E">
      <w:start w:val="1"/>
      <w:numFmt w:val="decimal"/>
      <w:lvlText w:val="%7."/>
      <w:lvlJc w:val="left"/>
      <w:pPr>
        <w:ind w:left="5040" w:hanging="360"/>
      </w:pPr>
    </w:lvl>
    <w:lvl w:ilvl="7" w:tplc="04D23EBC">
      <w:start w:val="1"/>
      <w:numFmt w:val="lowerLetter"/>
      <w:lvlText w:val="%8."/>
      <w:lvlJc w:val="left"/>
      <w:pPr>
        <w:ind w:left="5760" w:hanging="360"/>
      </w:pPr>
    </w:lvl>
    <w:lvl w:ilvl="8" w:tplc="0F7C56E4">
      <w:start w:val="1"/>
      <w:numFmt w:val="lowerRoman"/>
      <w:lvlText w:val="%9."/>
      <w:lvlJc w:val="right"/>
      <w:pPr>
        <w:ind w:left="6480" w:hanging="180"/>
      </w:pPr>
    </w:lvl>
  </w:abstractNum>
  <w:abstractNum w:abstractNumId="3">
    <w:nsid w:val="14611030"/>
    <w:multiLevelType w:val="hybridMultilevel"/>
    <w:tmpl w:val="57548D1E"/>
    <w:lvl w:ilvl="0" w:tplc="4FFE59B8">
      <w:start w:val="1"/>
      <w:numFmt w:val="upperLetter"/>
      <w:lvlText w:val="%1."/>
      <w:lvlJc w:val="left"/>
      <w:pPr>
        <w:ind w:left="720" w:hanging="360"/>
      </w:pPr>
      <w:rPr>
        <w:rFonts w:hint="default"/>
        <w:u w:val="none"/>
      </w:rPr>
    </w:lvl>
    <w:lvl w:ilvl="1" w:tplc="6D70F5CA">
      <w:start w:val="1"/>
      <w:numFmt w:val="lowerLetter"/>
      <w:lvlText w:val="%2."/>
      <w:lvlJc w:val="left"/>
      <w:pPr>
        <w:ind w:left="1440" w:hanging="360"/>
      </w:pPr>
    </w:lvl>
    <w:lvl w:ilvl="2" w:tplc="C8E2FCE8">
      <w:start w:val="1"/>
      <w:numFmt w:val="lowerRoman"/>
      <w:lvlText w:val="%3."/>
      <w:lvlJc w:val="right"/>
      <w:pPr>
        <w:ind w:left="2160" w:hanging="180"/>
      </w:pPr>
    </w:lvl>
    <w:lvl w:ilvl="3" w:tplc="1818A4E0">
      <w:start w:val="1"/>
      <w:numFmt w:val="decimal"/>
      <w:lvlText w:val="%4."/>
      <w:lvlJc w:val="left"/>
      <w:pPr>
        <w:ind w:left="2880" w:hanging="360"/>
      </w:pPr>
    </w:lvl>
    <w:lvl w:ilvl="4" w:tplc="96C8EFDC">
      <w:start w:val="1"/>
      <w:numFmt w:val="lowerLetter"/>
      <w:lvlText w:val="%5."/>
      <w:lvlJc w:val="left"/>
      <w:pPr>
        <w:ind w:left="3600" w:hanging="360"/>
      </w:pPr>
    </w:lvl>
    <w:lvl w:ilvl="5" w:tplc="5CEA10DA">
      <w:start w:val="1"/>
      <w:numFmt w:val="lowerRoman"/>
      <w:lvlText w:val="%6."/>
      <w:lvlJc w:val="right"/>
      <w:pPr>
        <w:ind w:left="4320" w:hanging="180"/>
      </w:pPr>
    </w:lvl>
    <w:lvl w:ilvl="6" w:tplc="C256E0F4">
      <w:start w:val="1"/>
      <w:numFmt w:val="decimal"/>
      <w:lvlText w:val="%7."/>
      <w:lvlJc w:val="left"/>
      <w:pPr>
        <w:ind w:left="5040" w:hanging="360"/>
      </w:pPr>
    </w:lvl>
    <w:lvl w:ilvl="7" w:tplc="7AD4BB1A">
      <w:start w:val="1"/>
      <w:numFmt w:val="lowerLetter"/>
      <w:lvlText w:val="%8."/>
      <w:lvlJc w:val="left"/>
      <w:pPr>
        <w:ind w:left="5760" w:hanging="360"/>
      </w:pPr>
    </w:lvl>
    <w:lvl w:ilvl="8" w:tplc="874A911A">
      <w:start w:val="1"/>
      <w:numFmt w:val="lowerRoman"/>
      <w:lvlText w:val="%9."/>
      <w:lvlJc w:val="right"/>
      <w:pPr>
        <w:ind w:left="6480" w:hanging="180"/>
      </w:pPr>
    </w:lvl>
  </w:abstractNum>
  <w:abstractNum w:abstractNumId="4">
    <w:nsid w:val="1A9B624F"/>
    <w:multiLevelType w:val="hybridMultilevel"/>
    <w:tmpl w:val="6A7218B6"/>
    <w:lvl w:ilvl="0" w:tplc="832805B8">
      <w:start w:val="1"/>
      <w:numFmt w:val="upperRoman"/>
      <w:lvlText w:val="%1."/>
      <w:lvlJc w:val="left"/>
      <w:pPr>
        <w:ind w:left="1080" w:hanging="720"/>
      </w:pPr>
      <w:rPr>
        <w:rFonts w:hint="default"/>
      </w:rPr>
    </w:lvl>
    <w:lvl w:ilvl="1" w:tplc="C7EE85F2">
      <w:start w:val="1"/>
      <w:numFmt w:val="lowerLetter"/>
      <w:lvlText w:val="%2."/>
      <w:lvlJc w:val="left"/>
      <w:pPr>
        <w:ind w:left="1440" w:hanging="360"/>
      </w:pPr>
    </w:lvl>
    <w:lvl w:ilvl="2" w:tplc="0DDAB01C">
      <w:start w:val="1"/>
      <w:numFmt w:val="lowerRoman"/>
      <w:lvlText w:val="%3."/>
      <w:lvlJc w:val="right"/>
      <w:pPr>
        <w:ind w:left="2160" w:hanging="180"/>
      </w:pPr>
    </w:lvl>
    <w:lvl w:ilvl="3" w:tplc="AD365E32">
      <w:start w:val="1"/>
      <w:numFmt w:val="decimal"/>
      <w:lvlText w:val="%4."/>
      <w:lvlJc w:val="left"/>
      <w:pPr>
        <w:ind w:left="2880" w:hanging="360"/>
      </w:pPr>
    </w:lvl>
    <w:lvl w:ilvl="4" w:tplc="2496E324">
      <w:start w:val="1"/>
      <w:numFmt w:val="lowerLetter"/>
      <w:lvlText w:val="%5."/>
      <w:lvlJc w:val="left"/>
      <w:pPr>
        <w:ind w:left="3600" w:hanging="360"/>
      </w:pPr>
    </w:lvl>
    <w:lvl w:ilvl="5" w:tplc="57C6C280">
      <w:start w:val="1"/>
      <w:numFmt w:val="lowerRoman"/>
      <w:lvlText w:val="%6."/>
      <w:lvlJc w:val="right"/>
      <w:pPr>
        <w:ind w:left="4320" w:hanging="180"/>
      </w:pPr>
    </w:lvl>
    <w:lvl w:ilvl="6" w:tplc="2C0ACA50">
      <w:start w:val="1"/>
      <w:numFmt w:val="decimal"/>
      <w:lvlText w:val="%7."/>
      <w:lvlJc w:val="left"/>
      <w:pPr>
        <w:ind w:left="5040" w:hanging="360"/>
      </w:pPr>
    </w:lvl>
    <w:lvl w:ilvl="7" w:tplc="11648C76">
      <w:start w:val="1"/>
      <w:numFmt w:val="lowerLetter"/>
      <w:lvlText w:val="%8."/>
      <w:lvlJc w:val="left"/>
      <w:pPr>
        <w:ind w:left="5760" w:hanging="360"/>
      </w:pPr>
    </w:lvl>
    <w:lvl w:ilvl="8" w:tplc="07CC96E8">
      <w:start w:val="1"/>
      <w:numFmt w:val="lowerRoman"/>
      <w:lvlText w:val="%9."/>
      <w:lvlJc w:val="right"/>
      <w:pPr>
        <w:ind w:left="6480" w:hanging="180"/>
      </w:pPr>
    </w:lvl>
  </w:abstractNum>
  <w:abstractNum w:abstractNumId="5">
    <w:nsid w:val="1B0669C8"/>
    <w:multiLevelType w:val="hybridMultilevel"/>
    <w:tmpl w:val="CD12B362"/>
    <w:lvl w:ilvl="0" w:tplc="4E486F7A">
      <w:start w:val="1"/>
      <w:numFmt w:val="decimal"/>
      <w:lvlText w:val="%1."/>
      <w:lvlJc w:val="left"/>
      <w:pPr>
        <w:ind w:left="720" w:hanging="360"/>
      </w:pPr>
      <w:rPr>
        <w:rFonts w:hint="default"/>
      </w:rPr>
    </w:lvl>
    <w:lvl w:ilvl="1" w:tplc="1D4C2DB0">
      <w:start w:val="1"/>
      <w:numFmt w:val="lowerLetter"/>
      <w:lvlText w:val="%2."/>
      <w:lvlJc w:val="left"/>
      <w:pPr>
        <w:ind w:left="1440" w:hanging="360"/>
      </w:pPr>
    </w:lvl>
    <w:lvl w:ilvl="2" w:tplc="321E0B88">
      <w:start w:val="1"/>
      <w:numFmt w:val="lowerRoman"/>
      <w:lvlText w:val="%3."/>
      <w:lvlJc w:val="right"/>
      <w:pPr>
        <w:ind w:left="2160" w:hanging="180"/>
      </w:pPr>
    </w:lvl>
    <w:lvl w:ilvl="3" w:tplc="B09CDB56">
      <w:start w:val="1"/>
      <w:numFmt w:val="decimal"/>
      <w:lvlText w:val="%4."/>
      <w:lvlJc w:val="left"/>
      <w:pPr>
        <w:ind w:left="2880" w:hanging="360"/>
      </w:pPr>
    </w:lvl>
    <w:lvl w:ilvl="4" w:tplc="F7C035AE">
      <w:start w:val="1"/>
      <w:numFmt w:val="lowerLetter"/>
      <w:lvlText w:val="%5."/>
      <w:lvlJc w:val="left"/>
      <w:pPr>
        <w:ind w:left="3600" w:hanging="360"/>
      </w:pPr>
    </w:lvl>
    <w:lvl w:ilvl="5" w:tplc="A69E64C6">
      <w:start w:val="1"/>
      <w:numFmt w:val="lowerRoman"/>
      <w:lvlText w:val="%6."/>
      <w:lvlJc w:val="right"/>
      <w:pPr>
        <w:ind w:left="4320" w:hanging="180"/>
      </w:pPr>
    </w:lvl>
    <w:lvl w:ilvl="6" w:tplc="906C2830">
      <w:start w:val="1"/>
      <w:numFmt w:val="decimal"/>
      <w:lvlText w:val="%7."/>
      <w:lvlJc w:val="left"/>
      <w:pPr>
        <w:ind w:left="5040" w:hanging="360"/>
      </w:pPr>
    </w:lvl>
    <w:lvl w:ilvl="7" w:tplc="3D48468C">
      <w:start w:val="1"/>
      <w:numFmt w:val="lowerLetter"/>
      <w:lvlText w:val="%8."/>
      <w:lvlJc w:val="left"/>
      <w:pPr>
        <w:ind w:left="5760" w:hanging="360"/>
      </w:pPr>
    </w:lvl>
    <w:lvl w:ilvl="8" w:tplc="F16415E4">
      <w:start w:val="1"/>
      <w:numFmt w:val="lowerRoman"/>
      <w:lvlText w:val="%9."/>
      <w:lvlJc w:val="right"/>
      <w:pPr>
        <w:ind w:left="6480" w:hanging="180"/>
      </w:pPr>
    </w:lvl>
  </w:abstractNum>
  <w:abstractNum w:abstractNumId="6">
    <w:nsid w:val="1D434360"/>
    <w:multiLevelType w:val="hybridMultilevel"/>
    <w:tmpl w:val="F668B754"/>
    <w:lvl w:ilvl="0" w:tplc="9676D1C2">
      <w:start w:val="1"/>
      <w:numFmt w:val="upperRoman"/>
      <w:lvlText w:val="%1."/>
      <w:lvlJc w:val="left"/>
      <w:pPr>
        <w:ind w:left="2400" w:hanging="720"/>
      </w:pPr>
      <w:rPr>
        <w:rFonts w:hint="default"/>
      </w:rPr>
    </w:lvl>
    <w:lvl w:ilvl="1" w:tplc="B24CAAB4">
      <w:start w:val="1"/>
      <w:numFmt w:val="lowerLetter"/>
      <w:lvlText w:val="%2."/>
      <w:lvlJc w:val="left"/>
      <w:pPr>
        <w:ind w:left="2760" w:hanging="360"/>
      </w:pPr>
    </w:lvl>
    <w:lvl w:ilvl="2" w:tplc="651426EA">
      <w:start w:val="1"/>
      <w:numFmt w:val="lowerRoman"/>
      <w:lvlText w:val="%3."/>
      <w:lvlJc w:val="right"/>
      <w:pPr>
        <w:ind w:left="3480" w:hanging="180"/>
      </w:pPr>
    </w:lvl>
    <w:lvl w:ilvl="3" w:tplc="53426106">
      <w:start w:val="1"/>
      <w:numFmt w:val="decimal"/>
      <w:lvlText w:val="%4."/>
      <w:lvlJc w:val="left"/>
      <w:pPr>
        <w:ind w:left="4200" w:hanging="360"/>
      </w:pPr>
    </w:lvl>
    <w:lvl w:ilvl="4" w:tplc="ADC61A54">
      <w:start w:val="1"/>
      <w:numFmt w:val="lowerLetter"/>
      <w:lvlText w:val="%5."/>
      <w:lvlJc w:val="left"/>
      <w:pPr>
        <w:ind w:left="4920" w:hanging="360"/>
      </w:pPr>
    </w:lvl>
    <w:lvl w:ilvl="5" w:tplc="91724024">
      <w:start w:val="1"/>
      <w:numFmt w:val="lowerRoman"/>
      <w:lvlText w:val="%6."/>
      <w:lvlJc w:val="right"/>
      <w:pPr>
        <w:ind w:left="5640" w:hanging="180"/>
      </w:pPr>
    </w:lvl>
    <w:lvl w:ilvl="6" w:tplc="27D69FFA">
      <w:start w:val="1"/>
      <w:numFmt w:val="decimal"/>
      <w:lvlText w:val="%7."/>
      <w:lvlJc w:val="left"/>
      <w:pPr>
        <w:ind w:left="6360" w:hanging="360"/>
      </w:pPr>
    </w:lvl>
    <w:lvl w:ilvl="7" w:tplc="B38A5600">
      <w:start w:val="1"/>
      <w:numFmt w:val="lowerLetter"/>
      <w:lvlText w:val="%8."/>
      <w:lvlJc w:val="left"/>
      <w:pPr>
        <w:ind w:left="7080" w:hanging="360"/>
      </w:pPr>
    </w:lvl>
    <w:lvl w:ilvl="8" w:tplc="D1D0A902">
      <w:start w:val="1"/>
      <w:numFmt w:val="lowerRoman"/>
      <w:lvlText w:val="%9."/>
      <w:lvlJc w:val="right"/>
      <w:pPr>
        <w:ind w:left="7800" w:hanging="180"/>
      </w:pPr>
    </w:lvl>
  </w:abstractNum>
  <w:abstractNum w:abstractNumId="7">
    <w:nsid w:val="253F0DCF"/>
    <w:multiLevelType w:val="hybridMultilevel"/>
    <w:tmpl w:val="D6201516"/>
    <w:lvl w:ilvl="0" w:tplc="2EE8E9C0">
      <w:start w:val="1"/>
      <w:numFmt w:val="decimal"/>
      <w:lvlText w:val="%1."/>
      <w:lvlJc w:val="left"/>
      <w:pPr>
        <w:ind w:left="720" w:hanging="360"/>
      </w:pPr>
      <w:rPr>
        <w:rFonts w:hint="default"/>
      </w:rPr>
    </w:lvl>
    <w:lvl w:ilvl="1" w:tplc="F690B480">
      <w:start w:val="1"/>
      <w:numFmt w:val="lowerLetter"/>
      <w:lvlText w:val="%2."/>
      <w:lvlJc w:val="left"/>
      <w:pPr>
        <w:ind w:left="1440" w:hanging="360"/>
      </w:pPr>
    </w:lvl>
    <w:lvl w:ilvl="2" w:tplc="074C2EBE">
      <w:start w:val="1"/>
      <w:numFmt w:val="lowerRoman"/>
      <w:lvlText w:val="%3."/>
      <w:lvlJc w:val="right"/>
      <w:pPr>
        <w:ind w:left="2160" w:hanging="180"/>
      </w:pPr>
    </w:lvl>
    <w:lvl w:ilvl="3" w:tplc="8D603DB6">
      <w:start w:val="1"/>
      <w:numFmt w:val="decimal"/>
      <w:lvlText w:val="%4."/>
      <w:lvlJc w:val="left"/>
      <w:pPr>
        <w:ind w:left="2880" w:hanging="360"/>
      </w:pPr>
    </w:lvl>
    <w:lvl w:ilvl="4" w:tplc="E74CE696">
      <w:start w:val="1"/>
      <w:numFmt w:val="lowerLetter"/>
      <w:lvlText w:val="%5."/>
      <w:lvlJc w:val="left"/>
      <w:pPr>
        <w:ind w:left="3600" w:hanging="360"/>
      </w:pPr>
    </w:lvl>
    <w:lvl w:ilvl="5" w:tplc="C07248B0">
      <w:start w:val="1"/>
      <w:numFmt w:val="lowerRoman"/>
      <w:lvlText w:val="%6."/>
      <w:lvlJc w:val="right"/>
      <w:pPr>
        <w:ind w:left="4320" w:hanging="180"/>
      </w:pPr>
    </w:lvl>
    <w:lvl w:ilvl="6" w:tplc="085E52BE">
      <w:start w:val="1"/>
      <w:numFmt w:val="decimal"/>
      <w:lvlText w:val="%7."/>
      <w:lvlJc w:val="left"/>
      <w:pPr>
        <w:ind w:left="5040" w:hanging="360"/>
      </w:pPr>
    </w:lvl>
    <w:lvl w:ilvl="7" w:tplc="9A4CDCC8">
      <w:start w:val="1"/>
      <w:numFmt w:val="lowerLetter"/>
      <w:lvlText w:val="%8."/>
      <w:lvlJc w:val="left"/>
      <w:pPr>
        <w:ind w:left="5760" w:hanging="360"/>
      </w:pPr>
    </w:lvl>
    <w:lvl w:ilvl="8" w:tplc="94945F06">
      <w:start w:val="1"/>
      <w:numFmt w:val="lowerRoman"/>
      <w:lvlText w:val="%9."/>
      <w:lvlJc w:val="right"/>
      <w:pPr>
        <w:ind w:left="6480" w:hanging="180"/>
      </w:pPr>
    </w:lvl>
  </w:abstractNum>
  <w:abstractNum w:abstractNumId="8">
    <w:nsid w:val="2A780605"/>
    <w:multiLevelType w:val="hybridMultilevel"/>
    <w:tmpl w:val="4F3E4BFC"/>
    <w:lvl w:ilvl="0" w:tplc="931296A0">
      <w:start w:val="1"/>
      <w:numFmt w:val="decimal"/>
      <w:lvlText w:val="%1."/>
      <w:lvlJc w:val="left"/>
      <w:pPr>
        <w:ind w:left="1680" w:hanging="960"/>
      </w:pPr>
      <w:rPr>
        <w:rFonts w:hint="default"/>
      </w:rPr>
    </w:lvl>
    <w:lvl w:ilvl="1" w:tplc="F8BA90E6">
      <w:start w:val="1"/>
      <w:numFmt w:val="lowerLetter"/>
      <w:lvlText w:val="%2."/>
      <w:lvlJc w:val="left"/>
      <w:pPr>
        <w:ind w:left="1800" w:hanging="360"/>
      </w:pPr>
    </w:lvl>
    <w:lvl w:ilvl="2" w:tplc="309EA7E6">
      <w:start w:val="1"/>
      <w:numFmt w:val="lowerRoman"/>
      <w:lvlText w:val="%3."/>
      <w:lvlJc w:val="right"/>
      <w:pPr>
        <w:ind w:left="2520" w:hanging="180"/>
      </w:pPr>
    </w:lvl>
    <w:lvl w:ilvl="3" w:tplc="A8F44220">
      <w:start w:val="1"/>
      <w:numFmt w:val="decimal"/>
      <w:lvlText w:val="%4."/>
      <w:lvlJc w:val="left"/>
      <w:pPr>
        <w:ind w:left="3240" w:hanging="360"/>
      </w:pPr>
    </w:lvl>
    <w:lvl w:ilvl="4" w:tplc="47784DF2">
      <w:start w:val="1"/>
      <w:numFmt w:val="lowerLetter"/>
      <w:lvlText w:val="%5."/>
      <w:lvlJc w:val="left"/>
      <w:pPr>
        <w:ind w:left="3960" w:hanging="360"/>
      </w:pPr>
    </w:lvl>
    <w:lvl w:ilvl="5" w:tplc="AD5ADE34">
      <w:start w:val="1"/>
      <w:numFmt w:val="lowerRoman"/>
      <w:lvlText w:val="%6."/>
      <w:lvlJc w:val="right"/>
      <w:pPr>
        <w:ind w:left="4680" w:hanging="180"/>
      </w:pPr>
    </w:lvl>
    <w:lvl w:ilvl="6" w:tplc="F3DCBEAC">
      <w:start w:val="1"/>
      <w:numFmt w:val="decimal"/>
      <w:lvlText w:val="%7."/>
      <w:lvlJc w:val="left"/>
      <w:pPr>
        <w:ind w:left="5400" w:hanging="360"/>
      </w:pPr>
    </w:lvl>
    <w:lvl w:ilvl="7" w:tplc="46BE4CD8">
      <w:start w:val="1"/>
      <w:numFmt w:val="lowerLetter"/>
      <w:lvlText w:val="%8."/>
      <w:lvlJc w:val="left"/>
      <w:pPr>
        <w:ind w:left="6120" w:hanging="360"/>
      </w:pPr>
    </w:lvl>
    <w:lvl w:ilvl="8" w:tplc="79ECE588">
      <w:start w:val="1"/>
      <w:numFmt w:val="lowerRoman"/>
      <w:lvlText w:val="%9."/>
      <w:lvlJc w:val="right"/>
      <w:pPr>
        <w:ind w:left="6840" w:hanging="180"/>
      </w:pPr>
    </w:lvl>
  </w:abstractNum>
  <w:abstractNum w:abstractNumId="9">
    <w:nsid w:val="43B67214"/>
    <w:multiLevelType w:val="hybridMultilevel"/>
    <w:tmpl w:val="793C84E4"/>
    <w:lvl w:ilvl="0" w:tplc="C0366276">
      <w:start w:val="1"/>
      <w:numFmt w:val="decimal"/>
      <w:lvlText w:val="%1."/>
      <w:lvlJc w:val="left"/>
      <w:pPr>
        <w:ind w:left="1680" w:hanging="960"/>
      </w:pPr>
      <w:rPr>
        <w:rFonts w:hint="default"/>
      </w:rPr>
    </w:lvl>
    <w:lvl w:ilvl="1" w:tplc="A28C6658">
      <w:start w:val="1"/>
      <w:numFmt w:val="lowerLetter"/>
      <w:lvlText w:val="%2."/>
      <w:lvlJc w:val="left"/>
      <w:pPr>
        <w:ind w:left="1800" w:hanging="360"/>
      </w:pPr>
    </w:lvl>
    <w:lvl w:ilvl="2" w:tplc="D3EA6060">
      <w:start w:val="1"/>
      <w:numFmt w:val="lowerRoman"/>
      <w:lvlText w:val="%3."/>
      <w:lvlJc w:val="right"/>
      <w:pPr>
        <w:ind w:left="2520" w:hanging="180"/>
      </w:pPr>
    </w:lvl>
    <w:lvl w:ilvl="3" w:tplc="D1B8FF82">
      <w:start w:val="1"/>
      <w:numFmt w:val="decimal"/>
      <w:lvlText w:val="%4."/>
      <w:lvlJc w:val="left"/>
      <w:pPr>
        <w:ind w:left="3240" w:hanging="360"/>
      </w:pPr>
    </w:lvl>
    <w:lvl w:ilvl="4" w:tplc="DABE36D4">
      <w:start w:val="1"/>
      <w:numFmt w:val="lowerLetter"/>
      <w:lvlText w:val="%5."/>
      <w:lvlJc w:val="left"/>
      <w:pPr>
        <w:ind w:left="3960" w:hanging="360"/>
      </w:pPr>
    </w:lvl>
    <w:lvl w:ilvl="5" w:tplc="EA822F1C">
      <w:start w:val="1"/>
      <w:numFmt w:val="lowerRoman"/>
      <w:lvlText w:val="%6."/>
      <w:lvlJc w:val="right"/>
      <w:pPr>
        <w:ind w:left="4680" w:hanging="180"/>
      </w:pPr>
    </w:lvl>
    <w:lvl w:ilvl="6" w:tplc="C10212E4">
      <w:start w:val="1"/>
      <w:numFmt w:val="decimal"/>
      <w:lvlText w:val="%7."/>
      <w:lvlJc w:val="left"/>
      <w:pPr>
        <w:ind w:left="5400" w:hanging="360"/>
      </w:pPr>
    </w:lvl>
    <w:lvl w:ilvl="7" w:tplc="278EC886">
      <w:start w:val="1"/>
      <w:numFmt w:val="lowerLetter"/>
      <w:lvlText w:val="%8."/>
      <w:lvlJc w:val="left"/>
      <w:pPr>
        <w:ind w:left="6120" w:hanging="360"/>
      </w:pPr>
    </w:lvl>
    <w:lvl w:ilvl="8" w:tplc="3996AF8E">
      <w:start w:val="1"/>
      <w:numFmt w:val="lowerRoman"/>
      <w:lvlText w:val="%9."/>
      <w:lvlJc w:val="right"/>
      <w:pPr>
        <w:ind w:left="6840" w:hanging="180"/>
      </w:pPr>
    </w:lvl>
  </w:abstractNum>
  <w:abstractNum w:abstractNumId="10">
    <w:nsid w:val="54D0788C"/>
    <w:multiLevelType w:val="hybridMultilevel"/>
    <w:tmpl w:val="D61EC04E"/>
    <w:lvl w:ilvl="0" w:tplc="1156585A">
      <w:start w:val="1"/>
      <w:numFmt w:val="upperLetter"/>
      <w:lvlText w:val="%1."/>
      <w:lvlJc w:val="left"/>
      <w:pPr>
        <w:ind w:left="1800" w:hanging="360"/>
      </w:pPr>
      <w:rPr>
        <w:rFonts w:hint="default"/>
      </w:rPr>
    </w:lvl>
    <w:lvl w:ilvl="1" w:tplc="DDB858C2">
      <w:start w:val="1"/>
      <w:numFmt w:val="lowerLetter"/>
      <w:lvlText w:val="%2."/>
      <w:lvlJc w:val="left"/>
      <w:pPr>
        <w:ind w:left="2520" w:hanging="360"/>
      </w:pPr>
    </w:lvl>
    <w:lvl w:ilvl="2" w:tplc="8BF00256">
      <w:start w:val="1"/>
      <w:numFmt w:val="lowerRoman"/>
      <w:lvlText w:val="%3."/>
      <w:lvlJc w:val="right"/>
      <w:pPr>
        <w:ind w:left="3240" w:hanging="180"/>
      </w:pPr>
    </w:lvl>
    <w:lvl w:ilvl="3" w:tplc="E4B4623A">
      <w:start w:val="1"/>
      <w:numFmt w:val="decimal"/>
      <w:lvlText w:val="%4."/>
      <w:lvlJc w:val="left"/>
      <w:pPr>
        <w:ind w:left="3960" w:hanging="360"/>
      </w:pPr>
    </w:lvl>
    <w:lvl w:ilvl="4" w:tplc="ACE8CD0E">
      <w:start w:val="1"/>
      <w:numFmt w:val="lowerLetter"/>
      <w:lvlText w:val="%5."/>
      <w:lvlJc w:val="left"/>
      <w:pPr>
        <w:ind w:left="4680" w:hanging="360"/>
      </w:pPr>
    </w:lvl>
    <w:lvl w:ilvl="5" w:tplc="2B4097DE">
      <w:start w:val="1"/>
      <w:numFmt w:val="lowerRoman"/>
      <w:lvlText w:val="%6."/>
      <w:lvlJc w:val="right"/>
      <w:pPr>
        <w:ind w:left="5400" w:hanging="180"/>
      </w:pPr>
    </w:lvl>
    <w:lvl w:ilvl="6" w:tplc="C9D6B310">
      <w:start w:val="1"/>
      <w:numFmt w:val="decimal"/>
      <w:lvlText w:val="%7."/>
      <w:lvlJc w:val="left"/>
      <w:pPr>
        <w:ind w:left="6120" w:hanging="360"/>
      </w:pPr>
    </w:lvl>
    <w:lvl w:ilvl="7" w:tplc="EF8A447E">
      <w:start w:val="1"/>
      <w:numFmt w:val="lowerLetter"/>
      <w:lvlText w:val="%8."/>
      <w:lvlJc w:val="left"/>
      <w:pPr>
        <w:ind w:left="6840" w:hanging="360"/>
      </w:pPr>
    </w:lvl>
    <w:lvl w:ilvl="8" w:tplc="0EDA44D0">
      <w:start w:val="1"/>
      <w:numFmt w:val="lowerRoman"/>
      <w:lvlText w:val="%9."/>
      <w:lvlJc w:val="right"/>
      <w:pPr>
        <w:ind w:left="7560" w:hanging="180"/>
      </w:pPr>
    </w:lvl>
  </w:abstractNum>
  <w:abstractNum w:abstractNumId="11">
    <w:nsid w:val="6FA4469E"/>
    <w:multiLevelType w:val="hybridMultilevel"/>
    <w:tmpl w:val="D098058A"/>
    <w:lvl w:ilvl="0" w:tplc="0096D156">
      <w:start w:val="5"/>
      <w:numFmt w:val="upperLetter"/>
      <w:lvlText w:val="%1."/>
      <w:lvlJc w:val="left"/>
      <w:pPr>
        <w:ind w:left="720" w:hanging="360"/>
      </w:pPr>
      <w:rPr>
        <w:rFonts w:hint="default"/>
      </w:rPr>
    </w:lvl>
    <w:lvl w:ilvl="1" w:tplc="4B80C06A">
      <w:start w:val="1"/>
      <w:numFmt w:val="lowerLetter"/>
      <w:lvlText w:val="%2."/>
      <w:lvlJc w:val="left"/>
      <w:pPr>
        <w:ind w:left="1440" w:hanging="360"/>
      </w:pPr>
    </w:lvl>
    <w:lvl w:ilvl="2" w:tplc="1B061368">
      <w:start w:val="1"/>
      <w:numFmt w:val="lowerRoman"/>
      <w:lvlText w:val="%3."/>
      <w:lvlJc w:val="right"/>
      <w:pPr>
        <w:ind w:left="2160" w:hanging="180"/>
      </w:pPr>
    </w:lvl>
    <w:lvl w:ilvl="3" w:tplc="017095FE">
      <w:start w:val="1"/>
      <w:numFmt w:val="decimal"/>
      <w:lvlText w:val="%4."/>
      <w:lvlJc w:val="left"/>
      <w:pPr>
        <w:ind w:left="2880" w:hanging="360"/>
      </w:pPr>
    </w:lvl>
    <w:lvl w:ilvl="4" w:tplc="C12C4F06">
      <w:start w:val="1"/>
      <w:numFmt w:val="lowerLetter"/>
      <w:lvlText w:val="%5."/>
      <w:lvlJc w:val="left"/>
      <w:pPr>
        <w:ind w:left="3600" w:hanging="360"/>
      </w:pPr>
    </w:lvl>
    <w:lvl w:ilvl="5" w:tplc="E7C623B4">
      <w:start w:val="1"/>
      <w:numFmt w:val="lowerRoman"/>
      <w:lvlText w:val="%6."/>
      <w:lvlJc w:val="right"/>
      <w:pPr>
        <w:ind w:left="4320" w:hanging="180"/>
      </w:pPr>
    </w:lvl>
    <w:lvl w:ilvl="6" w:tplc="FCF285D0">
      <w:start w:val="1"/>
      <w:numFmt w:val="decimal"/>
      <w:lvlText w:val="%7."/>
      <w:lvlJc w:val="left"/>
      <w:pPr>
        <w:ind w:left="5040" w:hanging="360"/>
      </w:pPr>
    </w:lvl>
    <w:lvl w:ilvl="7" w:tplc="24009F04">
      <w:start w:val="1"/>
      <w:numFmt w:val="lowerLetter"/>
      <w:lvlText w:val="%8."/>
      <w:lvlJc w:val="left"/>
      <w:pPr>
        <w:ind w:left="5760" w:hanging="360"/>
      </w:pPr>
    </w:lvl>
    <w:lvl w:ilvl="8" w:tplc="C7604088">
      <w:start w:val="1"/>
      <w:numFmt w:val="lowerRoman"/>
      <w:lvlText w:val="%9."/>
      <w:lvlJc w:val="right"/>
      <w:pPr>
        <w:ind w:left="6480" w:hanging="180"/>
      </w:pPr>
    </w:lvl>
  </w:abstractNum>
  <w:abstractNum w:abstractNumId="12">
    <w:nsid w:val="78047D31"/>
    <w:multiLevelType w:val="hybridMultilevel"/>
    <w:tmpl w:val="10ACF73E"/>
    <w:lvl w:ilvl="0" w:tplc="9CF61E80">
      <w:start w:val="1"/>
      <w:numFmt w:val="decimal"/>
      <w:lvlText w:val="%1."/>
      <w:lvlJc w:val="left"/>
      <w:pPr>
        <w:ind w:left="1080" w:hanging="360"/>
      </w:pPr>
      <w:rPr>
        <w:rFonts w:hint="default"/>
      </w:rPr>
    </w:lvl>
    <w:lvl w:ilvl="1" w:tplc="7E56279C">
      <w:start w:val="1"/>
      <w:numFmt w:val="lowerLetter"/>
      <w:lvlText w:val="%2."/>
      <w:lvlJc w:val="left"/>
      <w:pPr>
        <w:ind w:left="1800" w:hanging="360"/>
      </w:pPr>
    </w:lvl>
    <w:lvl w:ilvl="2" w:tplc="ED963692">
      <w:start w:val="1"/>
      <w:numFmt w:val="lowerRoman"/>
      <w:lvlText w:val="%3."/>
      <w:lvlJc w:val="right"/>
      <w:pPr>
        <w:ind w:left="2520" w:hanging="180"/>
      </w:pPr>
    </w:lvl>
    <w:lvl w:ilvl="3" w:tplc="E75A169E">
      <w:start w:val="1"/>
      <w:numFmt w:val="decimal"/>
      <w:lvlText w:val="%4."/>
      <w:lvlJc w:val="left"/>
      <w:pPr>
        <w:ind w:left="3240" w:hanging="360"/>
      </w:pPr>
    </w:lvl>
    <w:lvl w:ilvl="4" w:tplc="01F44964">
      <w:start w:val="1"/>
      <w:numFmt w:val="lowerLetter"/>
      <w:lvlText w:val="%5."/>
      <w:lvlJc w:val="left"/>
      <w:pPr>
        <w:ind w:left="3960" w:hanging="360"/>
      </w:pPr>
    </w:lvl>
    <w:lvl w:ilvl="5" w:tplc="02B680DA">
      <w:start w:val="1"/>
      <w:numFmt w:val="lowerRoman"/>
      <w:lvlText w:val="%6."/>
      <w:lvlJc w:val="right"/>
      <w:pPr>
        <w:ind w:left="4680" w:hanging="180"/>
      </w:pPr>
    </w:lvl>
    <w:lvl w:ilvl="6" w:tplc="B0ECD65E">
      <w:start w:val="1"/>
      <w:numFmt w:val="decimal"/>
      <w:lvlText w:val="%7."/>
      <w:lvlJc w:val="left"/>
      <w:pPr>
        <w:ind w:left="5400" w:hanging="360"/>
      </w:pPr>
    </w:lvl>
    <w:lvl w:ilvl="7" w:tplc="5874C51A">
      <w:start w:val="1"/>
      <w:numFmt w:val="lowerLetter"/>
      <w:lvlText w:val="%8."/>
      <w:lvlJc w:val="left"/>
      <w:pPr>
        <w:ind w:left="6120" w:hanging="360"/>
      </w:pPr>
    </w:lvl>
    <w:lvl w:ilvl="8" w:tplc="FFD2D05E">
      <w:start w:val="1"/>
      <w:numFmt w:val="lowerRoman"/>
      <w:lvlText w:val="%9."/>
      <w:lvlJc w:val="right"/>
      <w:pPr>
        <w:ind w:left="6840" w:hanging="180"/>
      </w:pPr>
    </w:lvl>
  </w:abstractNum>
  <w:abstractNum w:abstractNumId="13">
    <w:nsid w:val="7A4A3719"/>
    <w:multiLevelType w:val="hybridMultilevel"/>
    <w:tmpl w:val="08305286"/>
    <w:lvl w:ilvl="0" w:tplc="6B7833CC">
      <w:start w:val="1"/>
      <w:numFmt w:val="decimal"/>
      <w:lvlText w:val="%1."/>
      <w:lvlJc w:val="left"/>
      <w:pPr>
        <w:ind w:left="720" w:hanging="360"/>
      </w:pPr>
      <w:rPr>
        <w:rFonts w:hint="default"/>
      </w:rPr>
    </w:lvl>
    <w:lvl w:ilvl="1" w:tplc="70223FAE">
      <w:start w:val="1"/>
      <w:numFmt w:val="lowerLetter"/>
      <w:lvlText w:val="%2."/>
      <w:lvlJc w:val="left"/>
      <w:pPr>
        <w:ind w:left="1440" w:hanging="360"/>
      </w:pPr>
    </w:lvl>
    <w:lvl w:ilvl="2" w:tplc="69C87BA8">
      <w:start w:val="1"/>
      <w:numFmt w:val="lowerRoman"/>
      <w:lvlText w:val="%3."/>
      <w:lvlJc w:val="right"/>
      <w:pPr>
        <w:ind w:left="2160" w:hanging="180"/>
      </w:pPr>
    </w:lvl>
    <w:lvl w:ilvl="3" w:tplc="787A653E">
      <w:start w:val="1"/>
      <w:numFmt w:val="decimal"/>
      <w:lvlText w:val="%4."/>
      <w:lvlJc w:val="left"/>
      <w:pPr>
        <w:ind w:left="2880" w:hanging="360"/>
      </w:pPr>
    </w:lvl>
    <w:lvl w:ilvl="4" w:tplc="6F14C4DE">
      <w:start w:val="1"/>
      <w:numFmt w:val="lowerLetter"/>
      <w:lvlText w:val="%5."/>
      <w:lvlJc w:val="left"/>
      <w:pPr>
        <w:ind w:left="3600" w:hanging="360"/>
      </w:pPr>
    </w:lvl>
    <w:lvl w:ilvl="5" w:tplc="EDDC90B2">
      <w:start w:val="1"/>
      <w:numFmt w:val="lowerRoman"/>
      <w:lvlText w:val="%6."/>
      <w:lvlJc w:val="right"/>
      <w:pPr>
        <w:ind w:left="4320" w:hanging="180"/>
      </w:pPr>
    </w:lvl>
    <w:lvl w:ilvl="6" w:tplc="9B823996">
      <w:start w:val="1"/>
      <w:numFmt w:val="decimal"/>
      <w:lvlText w:val="%7."/>
      <w:lvlJc w:val="left"/>
      <w:pPr>
        <w:ind w:left="5040" w:hanging="360"/>
      </w:pPr>
    </w:lvl>
    <w:lvl w:ilvl="7" w:tplc="84B480F4">
      <w:start w:val="1"/>
      <w:numFmt w:val="lowerLetter"/>
      <w:lvlText w:val="%8."/>
      <w:lvlJc w:val="left"/>
      <w:pPr>
        <w:ind w:left="5760" w:hanging="360"/>
      </w:pPr>
    </w:lvl>
    <w:lvl w:ilvl="8" w:tplc="87B81C60">
      <w:start w:val="1"/>
      <w:numFmt w:val="lowerRoman"/>
      <w:lvlText w:val="%9."/>
      <w:lvlJc w:val="right"/>
      <w:pPr>
        <w:ind w:left="6480" w:hanging="180"/>
      </w:pPr>
    </w:lvl>
  </w:abstractNum>
  <w:abstractNum w:abstractNumId="14">
    <w:nsid w:val="7A7814A9"/>
    <w:multiLevelType w:val="hybridMultilevel"/>
    <w:tmpl w:val="9C422DD2"/>
    <w:lvl w:ilvl="0" w:tplc="5FA23A54">
      <w:start w:val="1"/>
      <w:numFmt w:val="upperLetter"/>
      <w:lvlText w:val="%1."/>
      <w:lvlJc w:val="left"/>
      <w:pPr>
        <w:ind w:left="720" w:hanging="360"/>
      </w:pPr>
      <w:rPr>
        <w:rFonts w:hint="default"/>
      </w:rPr>
    </w:lvl>
    <w:lvl w:ilvl="1" w:tplc="26283B84">
      <w:start w:val="1"/>
      <w:numFmt w:val="lowerLetter"/>
      <w:lvlText w:val="%2."/>
      <w:lvlJc w:val="left"/>
      <w:pPr>
        <w:ind w:left="1440" w:hanging="360"/>
      </w:pPr>
    </w:lvl>
    <w:lvl w:ilvl="2" w:tplc="B1A47480">
      <w:start w:val="1"/>
      <w:numFmt w:val="lowerRoman"/>
      <w:lvlText w:val="%3."/>
      <w:lvlJc w:val="right"/>
      <w:pPr>
        <w:ind w:left="2160" w:hanging="180"/>
      </w:pPr>
    </w:lvl>
    <w:lvl w:ilvl="3" w:tplc="E7AC7726">
      <w:start w:val="1"/>
      <w:numFmt w:val="decimal"/>
      <w:lvlText w:val="%4."/>
      <w:lvlJc w:val="left"/>
      <w:pPr>
        <w:ind w:left="2880" w:hanging="360"/>
      </w:pPr>
    </w:lvl>
    <w:lvl w:ilvl="4" w:tplc="5C28F1FE">
      <w:start w:val="1"/>
      <w:numFmt w:val="lowerLetter"/>
      <w:lvlText w:val="%5."/>
      <w:lvlJc w:val="left"/>
      <w:pPr>
        <w:ind w:left="3600" w:hanging="360"/>
      </w:pPr>
    </w:lvl>
    <w:lvl w:ilvl="5" w:tplc="2E9473B2">
      <w:start w:val="1"/>
      <w:numFmt w:val="lowerRoman"/>
      <w:lvlText w:val="%6."/>
      <w:lvlJc w:val="right"/>
      <w:pPr>
        <w:ind w:left="4320" w:hanging="180"/>
      </w:pPr>
    </w:lvl>
    <w:lvl w:ilvl="6" w:tplc="D5BABA28">
      <w:start w:val="1"/>
      <w:numFmt w:val="decimal"/>
      <w:lvlText w:val="%7."/>
      <w:lvlJc w:val="left"/>
      <w:pPr>
        <w:ind w:left="5040" w:hanging="360"/>
      </w:pPr>
    </w:lvl>
    <w:lvl w:ilvl="7" w:tplc="29E81792">
      <w:start w:val="1"/>
      <w:numFmt w:val="lowerLetter"/>
      <w:lvlText w:val="%8."/>
      <w:lvlJc w:val="left"/>
      <w:pPr>
        <w:ind w:left="5760" w:hanging="360"/>
      </w:pPr>
    </w:lvl>
    <w:lvl w:ilvl="8" w:tplc="7BD62996">
      <w:start w:val="1"/>
      <w:numFmt w:val="lowerRoman"/>
      <w:lvlText w:val="%9."/>
      <w:lvlJc w:val="right"/>
      <w:pPr>
        <w:ind w:left="6480" w:hanging="180"/>
      </w:pPr>
    </w:lvl>
  </w:abstractNum>
  <w:num w:numId="1">
    <w:abstractNumId w:val="14"/>
  </w:num>
  <w:num w:numId="2">
    <w:abstractNumId w:val="10"/>
  </w:num>
  <w:num w:numId="3">
    <w:abstractNumId w:val="4"/>
  </w:num>
  <w:num w:numId="4">
    <w:abstractNumId w:val="11"/>
  </w:num>
  <w:num w:numId="5">
    <w:abstractNumId w:val="2"/>
  </w:num>
  <w:num w:numId="6">
    <w:abstractNumId w:val="13"/>
  </w:num>
  <w:num w:numId="7">
    <w:abstractNumId w:val="0"/>
  </w:num>
  <w:num w:numId="8">
    <w:abstractNumId w:val="8"/>
  </w:num>
  <w:num w:numId="9">
    <w:abstractNumId w:val="1"/>
  </w:num>
  <w:num w:numId="10">
    <w:abstractNumId w:val="9"/>
  </w:num>
  <w:num w:numId="11">
    <w:abstractNumId w:val="7"/>
  </w:num>
  <w:num w:numId="12">
    <w:abstractNumId w:val="1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AD"/>
    <w:rsid w:val="000111AA"/>
    <w:rsid w:val="00041F02"/>
    <w:rsid w:val="000476F4"/>
    <w:rsid w:val="000743B7"/>
    <w:rsid w:val="00076F4F"/>
    <w:rsid w:val="00077E9B"/>
    <w:rsid w:val="000948A8"/>
    <w:rsid w:val="000963A8"/>
    <w:rsid w:val="000A65EB"/>
    <w:rsid w:val="000B1918"/>
    <w:rsid w:val="000C39B6"/>
    <w:rsid w:val="000D243C"/>
    <w:rsid w:val="000D3CF8"/>
    <w:rsid w:val="000D652C"/>
    <w:rsid w:val="000E19DE"/>
    <w:rsid w:val="000E23EE"/>
    <w:rsid w:val="00110292"/>
    <w:rsid w:val="00114FAC"/>
    <w:rsid w:val="00121CB6"/>
    <w:rsid w:val="001457CE"/>
    <w:rsid w:val="00157084"/>
    <w:rsid w:val="0016045B"/>
    <w:rsid w:val="00164507"/>
    <w:rsid w:val="0017209B"/>
    <w:rsid w:val="00173F3C"/>
    <w:rsid w:val="00175512"/>
    <w:rsid w:val="001B67F5"/>
    <w:rsid w:val="001C29DD"/>
    <w:rsid w:val="001C4BFE"/>
    <w:rsid w:val="001C55A8"/>
    <w:rsid w:val="0020504A"/>
    <w:rsid w:val="00216B47"/>
    <w:rsid w:val="00216F5C"/>
    <w:rsid w:val="00217A89"/>
    <w:rsid w:val="00224A6F"/>
    <w:rsid w:val="002403ED"/>
    <w:rsid w:val="00241B86"/>
    <w:rsid w:val="00242D6E"/>
    <w:rsid w:val="00246809"/>
    <w:rsid w:val="00262FD3"/>
    <w:rsid w:val="00264B70"/>
    <w:rsid w:val="00274FFB"/>
    <w:rsid w:val="002773C9"/>
    <w:rsid w:val="00283F56"/>
    <w:rsid w:val="0029264E"/>
    <w:rsid w:val="002A7CC9"/>
    <w:rsid w:val="002B05DF"/>
    <w:rsid w:val="002B1570"/>
    <w:rsid w:val="002D5F79"/>
    <w:rsid w:val="002E49AC"/>
    <w:rsid w:val="00307266"/>
    <w:rsid w:val="00320A40"/>
    <w:rsid w:val="00344C98"/>
    <w:rsid w:val="00360B45"/>
    <w:rsid w:val="00385C4D"/>
    <w:rsid w:val="003A1B96"/>
    <w:rsid w:val="003A33BF"/>
    <w:rsid w:val="003A453D"/>
    <w:rsid w:val="003B2ACA"/>
    <w:rsid w:val="003E5288"/>
    <w:rsid w:val="003F52EE"/>
    <w:rsid w:val="00407816"/>
    <w:rsid w:val="00410BC8"/>
    <w:rsid w:val="004134C4"/>
    <w:rsid w:val="0041561D"/>
    <w:rsid w:val="00455D06"/>
    <w:rsid w:val="00471582"/>
    <w:rsid w:val="00474C1E"/>
    <w:rsid w:val="00481A61"/>
    <w:rsid w:val="004A09E4"/>
    <w:rsid w:val="004B1634"/>
    <w:rsid w:val="004C2139"/>
    <w:rsid w:val="004D68B7"/>
    <w:rsid w:val="004F249A"/>
    <w:rsid w:val="004F3FF1"/>
    <w:rsid w:val="004F6165"/>
    <w:rsid w:val="004F7141"/>
    <w:rsid w:val="005119AF"/>
    <w:rsid w:val="00515AA3"/>
    <w:rsid w:val="00516F26"/>
    <w:rsid w:val="005242B8"/>
    <w:rsid w:val="00547CD4"/>
    <w:rsid w:val="00563991"/>
    <w:rsid w:val="00571602"/>
    <w:rsid w:val="00575C13"/>
    <w:rsid w:val="005772D4"/>
    <w:rsid w:val="00597116"/>
    <w:rsid w:val="005B1147"/>
    <w:rsid w:val="005C6965"/>
    <w:rsid w:val="005D080A"/>
    <w:rsid w:val="005D7774"/>
    <w:rsid w:val="005E5BF0"/>
    <w:rsid w:val="005F6EDF"/>
    <w:rsid w:val="00610B2A"/>
    <w:rsid w:val="0062725A"/>
    <w:rsid w:val="00627739"/>
    <w:rsid w:val="00653A06"/>
    <w:rsid w:val="00656FAF"/>
    <w:rsid w:val="00660092"/>
    <w:rsid w:val="006769D1"/>
    <w:rsid w:val="00686830"/>
    <w:rsid w:val="00691D19"/>
    <w:rsid w:val="006B5408"/>
    <w:rsid w:val="006B5753"/>
    <w:rsid w:val="006C2AA8"/>
    <w:rsid w:val="006E5531"/>
    <w:rsid w:val="006F419C"/>
    <w:rsid w:val="0072132F"/>
    <w:rsid w:val="00725285"/>
    <w:rsid w:val="00725413"/>
    <w:rsid w:val="00747222"/>
    <w:rsid w:val="00751CB3"/>
    <w:rsid w:val="00756767"/>
    <w:rsid w:val="00770D5F"/>
    <w:rsid w:val="0078134E"/>
    <w:rsid w:val="007951D8"/>
    <w:rsid w:val="00795FC1"/>
    <w:rsid w:val="00796A9A"/>
    <w:rsid w:val="007C3431"/>
    <w:rsid w:val="007E5BA1"/>
    <w:rsid w:val="007E7927"/>
    <w:rsid w:val="007F081B"/>
    <w:rsid w:val="007F3113"/>
    <w:rsid w:val="00800E45"/>
    <w:rsid w:val="00807EA9"/>
    <w:rsid w:val="00820CC7"/>
    <w:rsid w:val="008748E0"/>
    <w:rsid w:val="00874B3C"/>
    <w:rsid w:val="008875BD"/>
    <w:rsid w:val="00893349"/>
    <w:rsid w:val="00893982"/>
    <w:rsid w:val="008A64F3"/>
    <w:rsid w:val="008B0CD9"/>
    <w:rsid w:val="008B5298"/>
    <w:rsid w:val="008C0C5F"/>
    <w:rsid w:val="008C5FE1"/>
    <w:rsid w:val="008E1B27"/>
    <w:rsid w:val="008E4277"/>
    <w:rsid w:val="008E782D"/>
    <w:rsid w:val="008F7C97"/>
    <w:rsid w:val="0093388D"/>
    <w:rsid w:val="009346EC"/>
    <w:rsid w:val="009370BA"/>
    <w:rsid w:val="00950494"/>
    <w:rsid w:val="009508A8"/>
    <w:rsid w:val="00950BDA"/>
    <w:rsid w:val="00955066"/>
    <w:rsid w:val="00971ABC"/>
    <w:rsid w:val="009766BC"/>
    <w:rsid w:val="009813AD"/>
    <w:rsid w:val="00993A89"/>
    <w:rsid w:val="00994150"/>
    <w:rsid w:val="009963CE"/>
    <w:rsid w:val="009A4EBA"/>
    <w:rsid w:val="009C57A7"/>
    <w:rsid w:val="009F37C2"/>
    <w:rsid w:val="009F6932"/>
    <w:rsid w:val="00A01214"/>
    <w:rsid w:val="00A13D6B"/>
    <w:rsid w:val="00A14619"/>
    <w:rsid w:val="00A322C0"/>
    <w:rsid w:val="00A408B0"/>
    <w:rsid w:val="00A4467B"/>
    <w:rsid w:val="00A44B30"/>
    <w:rsid w:val="00A60814"/>
    <w:rsid w:val="00A74717"/>
    <w:rsid w:val="00A83A52"/>
    <w:rsid w:val="00AB361B"/>
    <w:rsid w:val="00AB46F9"/>
    <w:rsid w:val="00AC6FBD"/>
    <w:rsid w:val="00AE2C78"/>
    <w:rsid w:val="00AF2B7D"/>
    <w:rsid w:val="00B03C5F"/>
    <w:rsid w:val="00B13EEE"/>
    <w:rsid w:val="00B2490E"/>
    <w:rsid w:val="00B36393"/>
    <w:rsid w:val="00B45BD7"/>
    <w:rsid w:val="00B47311"/>
    <w:rsid w:val="00B55606"/>
    <w:rsid w:val="00B57EE9"/>
    <w:rsid w:val="00B96256"/>
    <w:rsid w:val="00BA0DED"/>
    <w:rsid w:val="00BA1A1E"/>
    <w:rsid w:val="00BB21F0"/>
    <w:rsid w:val="00BC7E80"/>
    <w:rsid w:val="00BD582A"/>
    <w:rsid w:val="00C142A4"/>
    <w:rsid w:val="00C21F50"/>
    <w:rsid w:val="00C22BE4"/>
    <w:rsid w:val="00C5156D"/>
    <w:rsid w:val="00C57DCD"/>
    <w:rsid w:val="00C8529D"/>
    <w:rsid w:val="00CB1A26"/>
    <w:rsid w:val="00CB2B40"/>
    <w:rsid w:val="00CD1F19"/>
    <w:rsid w:val="00CD35BA"/>
    <w:rsid w:val="00CD63E6"/>
    <w:rsid w:val="00CE598C"/>
    <w:rsid w:val="00CF7E92"/>
    <w:rsid w:val="00D1029A"/>
    <w:rsid w:val="00D11621"/>
    <w:rsid w:val="00D12E7F"/>
    <w:rsid w:val="00D13F6D"/>
    <w:rsid w:val="00D17D41"/>
    <w:rsid w:val="00D244A6"/>
    <w:rsid w:val="00D461C0"/>
    <w:rsid w:val="00D50C8A"/>
    <w:rsid w:val="00D92A80"/>
    <w:rsid w:val="00D92A8C"/>
    <w:rsid w:val="00D933DA"/>
    <w:rsid w:val="00DC24A6"/>
    <w:rsid w:val="00DC339E"/>
    <w:rsid w:val="00DD1112"/>
    <w:rsid w:val="00DD3CAA"/>
    <w:rsid w:val="00DE19B7"/>
    <w:rsid w:val="00DF691A"/>
    <w:rsid w:val="00E17C96"/>
    <w:rsid w:val="00E2772C"/>
    <w:rsid w:val="00E339A8"/>
    <w:rsid w:val="00E34E35"/>
    <w:rsid w:val="00E4426D"/>
    <w:rsid w:val="00E44C25"/>
    <w:rsid w:val="00E56E1B"/>
    <w:rsid w:val="00E57B7E"/>
    <w:rsid w:val="00E7158B"/>
    <w:rsid w:val="00E71A81"/>
    <w:rsid w:val="00E8569A"/>
    <w:rsid w:val="00E97654"/>
    <w:rsid w:val="00EB088A"/>
    <w:rsid w:val="00EB654F"/>
    <w:rsid w:val="00EB6C41"/>
    <w:rsid w:val="00EB70C3"/>
    <w:rsid w:val="00ED1DAD"/>
    <w:rsid w:val="00ED2C84"/>
    <w:rsid w:val="00F00BAE"/>
    <w:rsid w:val="00F057EB"/>
    <w:rsid w:val="00F108C2"/>
    <w:rsid w:val="00F1306A"/>
    <w:rsid w:val="00F150AD"/>
    <w:rsid w:val="00F22897"/>
    <w:rsid w:val="00F30671"/>
    <w:rsid w:val="00F30CEC"/>
    <w:rsid w:val="00F32D0F"/>
    <w:rsid w:val="00F330DC"/>
    <w:rsid w:val="00F3728F"/>
    <w:rsid w:val="00F44EF9"/>
    <w:rsid w:val="00F471DA"/>
    <w:rsid w:val="00F527B0"/>
    <w:rsid w:val="00F64DD9"/>
    <w:rsid w:val="00F743C5"/>
    <w:rsid w:val="00F76C84"/>
    <w:rsid w:val="00F76D6F"/>
    <w:rsid w:val="00F77EDE"/>
    <w:rsid w:val="00F8232D"/>
    <w:rsid w:val="00F870CA"/>
    <w:rsid w:val="00FA70D1"/>
    <w:rsid w:val="00FB0470"/>
    <w:rsid w:val="00FB4E4B"/>
    <w:rsid w:val="00FF34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KJDDLK+TimesNewRoman" w:eastAsia="Times New Roman" w:hAnsi="KJDDLK+TimesNewRoman"/>
      <w:color w:val="000000"/>
      <w:szCs w:val="20"/>
    </w:rPr>
  </w:style>
  <w:style w:type="character" w:customStyle="1" w:styleId="BodyTextChar">
    <w:name w:val="Body Text Char"/>
    <w:basedOn w:val="DefaultParagraphFont"/>
    <w:link w:val="BodyText"/>
    <w:uiPriority w:val="99"/>
    <w:rPr>
      <w:rFonts w:ascii="KJDDLK+TimesNewRoman" w:eastAsia="Times New Roman" w:hAnsi="KJDDLK+TimesNewRoman" w:cs="Times New Roman"/>
      <w:color w:val="00000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rFonts w:ascii="Cambria" w:eastAsia="Cambria"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mbria" w:eastAsia="Cambria" w:hAnsi="Cambria" w:cs="Times New Roman"/>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Cambria" w:hAnsi="Cambria"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Cambria" w:hAnsi="Lucida Grande" w:cs="Lucida Grande"/>
      <w:sz w:val="18"/>
      <w:szCs w:val="18"/>
    </w:rPr>
  </w:style>
  <w:style w:type="paragraph" w:styleId="FootnoteText">
    <w:name w:val="footnote text"/>
    <w:basedOn w:val="Normal"/>
    <w:link w:val="FootnoteTextChar"/>
    <w:rPr>
      <w:rFonts w:ascii="Times" w:eastAsia="Times New Roman" w:hAnsi="Times"/>
    </w:rPr>
  </w:style>
  <w:style w:type="character" w:customStyle="1" w:styleId="FootnoteTextChar">
    <w:name w:val="Footnote Text Char"/>
    <w:basedOn w:val="DefaultParagraphFont"/>
    <w:link w:val="FootnoteText"/>
    <w:rPr>
      <w:rFonts w:ascii="Times" w:eastAsia="Times New Roman" w:hAnsi="Times" w:cs="Times New Roman"/>
    </w:rPr>
  </w:style>
  <w:style w:type="character" w:styleId="FootnoteReference">
    <w:name w:val="footnote reference"/>
    <w:rPr>
      <w:rFonts w:cs="Times New Roman"/>
      <w:vertAlign w:val="superscript"/>
    </w:rPr>
  </w:style>
  <w:style w:type="character" w:styleId="Hyperlink">
    <w:name w:val="Hyperlink"/>
    <w:uiPriority w:val="99"/>
    <w:rPr>
      <w:color w:val="0000FF"/>
      <w:u w:val="single"/>
    </w:rPr>
  </w:style>
  <w:style w:type="paragraph" w:customStyle="1" w:styleId="Default">
    <w:name w:val="Default"/>
    <w:rPr>
      <w:rFonts w:eastAsia="Cambria" w:hAnsi="Cambria" w:cs="Cambria"/>
      <w:color w:val="00000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rFonts w:ascii="Calibri"/>
    </w:rPr>
  </w:style>
  <w:style w:type="character" w:customStyle="1" w:styleId="TitleChar">
    <w:name w:val="Title Char"/>
    <w:basedOn w:val="DefaultParagraphFont"/>
    <w:link w:val="Title"/>
    <w:uiPriority w:val="10"/>
    <w:rPr>
      <w:rFonts w:ascii="Calibr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KJDDLK+TimesNewRoman" w:eastAsia="Times New Roman" w:hAnsi="KJDDLK+TimesNewRoman"/>
      <w:color w:val="000000"/>
      <w:szCs w:val="20"/>
    </w:rPr>
  </w:style>
  <w:style w:type="character" w:customStyle="1" w:styleId="BodyTextChar">
    <w:name w:val="Body Text Char"/>
    <w:basedOn w:val="DefaultParagraphFont"/>
    <w:link w:val="BodyText"/>
    <w:uiPriority w:val="99"/>
    <w:rPr>
      <w:rFonts w:ascii="KJDDLK+TimesNewRoman" w:eastAsia="Times New Roman" w:hAnsi="KJDDLK+TimesNewRoman" w:cs="Times New Roman"/>
      <w:color w:val="00000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rFonts w:ascii="Cambria" w:eastAsia="Cambria"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mbria" w:eastAsia="Cambria" w:hAnsi="Cambria" w:cs="Times New Roman"/>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Cambria" w:hAnsi="Cambria"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Cambria" w:hAnsi="Lucida Grande" w:cs="Lucida Grande"/>
      <w:sz w:val="18"/>
      <w:szCs w:val="18"/>
    </w:rPr>
  </w:style>
  <w:style w:type="paragraph" w:styleId="FootnoteText">
    <w:name w:val="footnote text"/>
    <w:basedOn w:val="Normal"/>
    <w:link w:val="FootnoteTextChar"/>
    <w:rPr>
      <w:rFonts w:ascii="Times" w:eastAsia="Times New Roman" w:hAnsi="Times"/>
    </w:rPr>
  </w:style>
  <w:style w:type="character" w:customStyle="1" w:styleId="FootnoteTextChar">
    <w:name w:val="Footnote Text Char"/>
    <w:basedOn w:val="DefaultParagraphFont"/>
    <w:link w:val="FootnoteText"/>
    <w:rPr>
      <w:rFonts w:ascii="Times" w:eastAsia="Times New Roman" w:hAnsi="Times" w:cs="Times New Roman"/>
    </w:rPr>
  </w:style>
  <w:style w:type="character" w:styleId="FootnoteReference">
    <w:name w:val="footnote reference"/>
    <w:rPr>
      <w:rFonts w:cs="Times New Roman"/>
      <w:vertAlign w:val="superscript"/>
    </w:rPr>
  </w:style>
  <w:style w:type="character" w:styleId="Hyperlink">
    <w:name w:val="Hyperlink"/>
    <w:uiPriority w:val="99"/>
    <w:rPr>
      <w:color w:val="0000FF"/>
      <w:u w:val="single"/>
    </w:rPr>
  </w:style>
  <w:style w:type="paragraph" w:customStyle="1" w:styleId="Default">
    <w:name w:val="Default"/>
    <w:rPr>
      <w:rFonts w:eastAsia="Cambria" w:hAnsi="Cambria" w:cs="Cambria"/>
      <w:color w:val="00000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rFonts w:ascii="Calibri"/>
    </w:rPr>
  </w:style>
  <w:style w:type="character" w:customStyle="1" w:styleId="TitleChar">
    <w:name w:val="Title Char"/>
    <w:basedOn w:val="DefaultParagraphFont"/>
    <w:link w:val="Title"/>
    <w:uiPriority w:val="10"/>
    <w:rPr>
      <w:rFonts w:asci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Macintosh Word</Application>
  <DocSecurity>0</DocSecurity>
  <Lines>39</Lines>
  <Paragraphs>11</Paragraphs>
  <ScaleCrop>false</ScaleCrop>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dc:description/>
  <cp:lastModifiedBy>Jennie Daley</cp:lastModifiedBy>
  <cp:revision>2</cp:revision>
  <cp:lastPrinted>2015-05-06T18:08:00Z</cp:lastPrinted>
  <dcterms:created xsi:type="dcterms:W3CDTF">2015-07-22T00:57:00Z</dcterms:created>
  <dcterms:modified xsi:type="dcterms:W3CDTF">2015-07-22T00:57:00Z</dcterms:modified>
</cp:coreProperties>
</file>