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D3A36" w14:textId="23E7E3D0" w:rsidR="00453656" w:rsidRDefault="004B7E2F" w:rsidP="00AF2C0C">
      <w:pPr>
        <w:jc w:val="center"/>
        <w:rPr>
          <w:rFonts w:cs="Arial"/>
          <w:b/>
          <w:bCs/>
          <w:color w:val="000000"/>
          <w:sz w:val="22"/>
          <w:szCs w:val="22"/>
        </w:rPr>
      </w:pPr>
      <w:r>
        <w:rPr>
          <w:rFonts w:cs="Arial"/>
          <w:b/>
          <w:bCs/>
          <w:color w:val="000000"/>
          <w:sz w:val="22"/>
          <w:szCs w:val="22"/>
        </w:rPr>
        <w:t>North Carolina General Assembly, House Bill 765 Fact Sheet</w:t>
      </w:r>
    </w:p>
    <w:p w14:paraId="57186414" w14:textId="77777777" w:rsidR="00AF2C0C" w:rsidRPr="00AF2C0C" w:rsidRDefault="00AF2C0C" w:rsidP="00AF2C0C">
      <w:pPr>
        <w:jc w:val="center"/>
        <w:rPr>
          <w:rFonts w:cs="Arial"/>
          <w:b/>
          <w:bCs/>
          <w:color w:val="000000"/>
          <w:sz w:val="22"/>
          <w:szCs w:val="22"/>
        </w:rPr>
      </w:pPr>
    </w:p>
    <w:p w14:paraId="104F01E3" w14:textId="2E43FB1B" w:rsidR="00453656" w:rsidRPr="00D621BB" w:rsidRDefault="00453656" w:rsidP="00AF2C0C">
      <w:pPr>
        <w:textAlignment w:val="baseline"/>
        <w:rPr>
          <w:rFonts w:cs="Arial"/>
          <w:color w:val="000000"/>
          <w:sz w:val="22"/>
          <w:szCs w:val="22"/>
        </w:rPr>
      </w:pPr>
      <w:r w:rsidRPr="00D621BB">
        <w:rPr>
          <w:rFonts w:cs="Arial"/>
          <w:color w:val="000000"/>
          <w:sz w:val="22"/>
          <w:szCs w:val="22"/>
        </w:rPr>
        <w:t xml:space="preserve">H 765, as passed by the House, was a one-provision bill about transporting gravel. </w:t>
      </w:r>
      <w:r w:rsidR="00892DDB">
        <w:rPr>
          <w:rFonts w:cs="Arial"/>
          <w:color w:val="000000"/>
          <w:sz w:val="22"/>
          <w:szCs w:val="22"/>
        </w:rPr>
        <w:t>As passed by the Senate, the bill</w:t>
      </w:r>
      <w:r w:rsidRPr="00D621BB">
        <w:rPr>
          <w:rFonts w:cs="Arial"/>
          <w:color w:val="000000"/>
          <w:sz w:val="22"/>
          <w:szCs w:val="22"/>
        </w:rPr>
        <w:t xml:space="preserve"> is a 50</w:t>
      </w:r>
      <w:r w:rsidR="00892DDB">
        <w:rPr>
          <w:rFonts w:cs="Arial"/>
          <w:color w:val="000000"/>
          <w:sz w:val="22"/>
          <w:szCs w:val="22"/>
        </w:rPr>
        <w:t xml:space="preserve">+ </w:t>
      </w:r>
      <w:r w:rsidRPr="00D621BB">
        <w:rPr>
          <w:rFonts w:cs="Arial"/>
          <w:color w:val="000000"/>
          <w:sz w:val="22"/>
          <w:szCs w:val="22"/>
        </w:rPr>
        <w:t>page omnibus</w:t>
      </w:r>
      <w:r w:rsidR="00892DDB">
        <w:rPr>
          <w:rFonts w:cs="Arial"/>
          <w:color w:val="000000"/>
          <w:sz w:val="22"/>
          <w:szCs w:val="22"/>
        </w:rPr>
        <w:t xml:space="preserve"> polluter protection</w:t>
      </w:r>
      <w:r w:rsidRPr="00D621BB">
        <w:rPr>
          <w:rFonts w:cs="Arial"/>
          <w:color w:val="000000"/>
          <w:sz w:val="22"/>
          <w:szCs w:val="22"/>
        </w:rPr>
        <w:t xml:space="preserve"> bill with many </w:t>
      </w:r>
      <w:r w:rsidR="00892DDB">
        <w:rPr>
          <w:rFonts w:cs="Arial"/>
          <w:color w:val="000000"/>
          <w:sz w:val="22"/>
          <w:szCs w:val="22"/>
        </w:rPr>
        <w:t>terrible</w:t>
      </w:r>
      <w:r w:rsidRPr="00D621BB">
        <w:rPr>
          <w:rFonts w:cs="Arial"/>
          <w:color w:val="000000"/>
          <w:sz w:val="22"/>
          <w:szCs w:val="22"/>
        </w:rPr>
        <w:t xml:space="preserve"> environmental</w:t>
      </w:r>
      <w:r w:rsidR="00892DDB">
        <w:rPr>
          <w:rFonts w:cs="Arial"/>
          <w:color w:val="000000"/>
          <w:sz w:val="22"/>
          <w:szCs w:val="22"/>
        </w:rPr>
        <w:t xml:space="preserve"> provisions, including: </w:t>
      </w:r>
    </w:p>
    <w:p w14:paraId="420813E4" w14:textId="77777777" w:rsidR="00453656" w:rsidRPr="00D621BB" w:rsidRDefault="00453656" w:rsidP="00453656">
      <w:pPr>
        <w:rPr>
          <w:rFonts w:eastAsia="Times New Roman" w:cs="Times New Roman"/>
          <w:sz w:val="21"/>
          <w:szCs w:val="21"/>
        </w:rPr>
      </w:pPr>
    </w:p>
    <w:p w14:paraId="4AEFF508" w14:textId="77777777" w:rsidR="00453656" w:rsidRPr="00D621BB" w:rsidRDefault="00453656" w:rsidP="00453656">
      <w:pPr>
        <w:rPr>
          <w:rFonts w:cs="Times New Roman"/>
          <w:sz w:val="21"/>
          <w:szCs w:val="21"/>
        </w:rPr>
      </w:pPr>
      <w:r w:rsidRPr="00D621BB">
        <w:rPr>
          <w:rFonts w:cs="Arial"/>
          <w:b/>
          <w:bCs/>
          <w:color w:val="000000"/>
          <w:sz w:val="21"/>
          <w:szCs w:val="21"/>
        </w:rPr>
        <w:t>Section 1.4: Attorney’s Fees</w:t>
      </w:r>
    </w:p>
    <w:p w14:paraId="404D6FA8" w14:textId="4066753F" w:rsidR="00453656" w:rsidRPr="00892DDB" w:rsidRDefault="00024CDA" w:rsidP="00453656">
      <w:pPr>
        <w:numPr>
          <w:ilvl w:val="0"/>
          <w:numId w:val="13"/>
        </w:numPr>
        <w:textAlignment w:val="baseline"/>
        <w:rPr>
          <w:rFonts w:cs="Arial"/>
          <w:color w:val="000000"/>
          <w:sz w:val="21"/>
          <w:szCs w:val="21"/>
        </w:rPr>
      </w:pPr>
      <w:r>
        <w:rPr>
          <w:rFonts w:cs="Arial"/>
          <w:color w:val="000000"/>
          <w:sz w:val="21"/>
          <w:szCs w:val="21"/>
        </w:rPr>
        <w:t>This</w:t>
      </w:r>
      <w:r w:rsidR="00453656" w:rsidRPr="00D621BB">
        <w:rPr>
          <w:rFonts w:cs="Arial"/>
          <w:color w:val="000000"/>
          <w:sz w:val="21"/>
          <w:szCs w:val="21"/>
        </w:rPr>
        <w:t xml:space="preserve"> provision </w:t>
      </w:r>
      <w:r w:rsidR="00892DDB">
        <w:rPr>
          <w:rFonts w:cs="Arial"/>
          <w:color w:val="000000"/>
          <w:sz w:val="21"/>
          <w:szCs w:val="21"/>
        </w:rPr>
        <w:t>provide</w:t>
      </w:r>
      <w:r>
        <w:rPr>
          <w:rFonts w:cs="Arial"/>
          <w:color w:val="000000"/>
          <w:sz w:val="21"/>
          <w:szCs w:val="21"/>
        </w:rPr>
        <w:t>s</w:t>
      </w:r>
      <w:r w:rsidR="00892DDB">
        <w:rPr>
          <w:rFonts w:cs="Arial"/>
          <w:color w:val="000000"/>
          <w:sz w:val="21"/>
          <w:szCs w:val="21"/>
        </w:rPr>
        <w:t xml:space="preserve"> for the automatic recovery of attorneys’ fees any time the state</w:t>
      </w:r>
      <w:r w:rsidR="00453656" w:rsidRPr="00D621BB">
        <w:rPr>
          <w:rFonts w:cs="Arial"/>
          <w:color w:val="000000"/>
          <w:sz w:val="21"/>
          <w:szCs w:val="21"/>
        </w:rPr>
        <w:t xml:space="preserve"> </w:t>
      </w:r>
      <w:r w:rsidR="00892DDB">
        <w:rPr>
          <w:rFonts w:cs="Arial"/>
          <w:color w:val="000000"/>
          <w:sz w:val="21"/>
          <w:szCs w:val="21"/>
        </w:rPr>
        <w:t>is</w:t>
      </w:r>
      <w:r w:rsidR="00453656" w:rsidRPr="00D621BB">
        <w:rPr>
          <w:rFonts w:cs="Arial"/>
          <w:color w:val="000000"/>
          <w:sz w:val="21"/>
          <w:szCs w:val="21"/>
        </w:rPr>
        <w:t xml:space="preserve"> the prevailing party in a case dealing with environmental impact or the construction of transportation infrastructure.</w:t>
      </w:r>
      <w:r w:rsidR="00892DDB">
        <w:rPr>
          <w:rFonts w:cs="Arial"/>
          <w:color w:val="000000"/>
          <w:sz w:val="21"/>
          <w:szCs w:val="21"/>
        </w:rPr>
        <w:t xml:space="preserve">  </w:t>
      </w:r>
      <w:r w:rsidR="00892DDB" w:rsidRPr="00D621BB">
        <w:rPr>
          <w:rFonts w:cs="Arial"/>
          <w:color w:val="000000"/>
          <w:sz w:val="21"/>
          <w:szCs w:val="21"/>
        </w:rPr>
        <w:t xml:space="preserve">This provision would have an extreme chilling effect, further limiting the ability of citizens to ensure enforcement of environmental laws. </w:t>
      </w:r>
      <w:r w:rsidR="00892DDB">
        <w:rPr>
          <w:rFonts w:cs="Arial"/>
          <w:color w:val="000000"/>
          <w:sz w:val="21"/>
          <w:szCs w:val="21"/>
        </w:rPr>
        <w:t xml:space="preserve"> </w:t>
      </w:r>
      <w:r w:rsidR="00453656" w:rsidRPr="00892DDB">
        <w:rPr>
          <w:rFonts w:cs="Arial"/>
          <w:color w:val="000000"/>
          <w:sz w:val="21"/>
          <w:szCs w:val="21"/>
        </w:rPr>
        <w:t>While plaintiff groups may be prevented from recovering fees if there are “special circumstances” that would make the award of attorney's fees “unjust” there is no similar provision limiting the state from recovering fees. If the intent is to prevent frivolous lawsuits, then the award of attorney fees should hinge on whether the lawsuit is frivolous.</w:t>
      </w:r>
    </w:p>
    <w:p w14:paraId="75C1658E" w14:textId="77777777" w:rsidR="00453656" w:rsidRPr="00D621BB" w:rsidRDefault="00453656" w:rsidP="00453656">
      <w:pPr>
        <w:rPr>
          <w:rFonts w:cs="Times New Roman"/>
          <w:sz w:val="21"/>
          <w:szCs w:val="21"/>
        </w:rPr>
      </w:pPr>
      <w:r w:rsidRPr="00D621BB">
        <w:rPr>
          <w:rFonts w:cs="Arial"/>
          <w:b/>
          <w:bCs/>
          <w:color w:val="000000"/>
          <w:sz w:val="21"/>
          <w:szCs w:val="21"/>
        </w:rPr>
        <w:t>Section 4.1: Environmental Self-Audit Privilege and Limited Immunity</w:t>
      </w:r>
    </w:p>
    <w:p w14:paraId="3A7DD454" w14:textId="10A56AF4" w:rsidR="00453656" w:rsidRPr="009877E3" w:rsidRDefault="00453656" w:rsidP="00453656">
      <w:pPr>
        <w:numPr>
          <w:ilvl w:val="0"/>
          <w:numId w:val="14"/>
        </w:numPr>
        <w:textAlignment w:val="baseline"/>
        <w:rPr>
          <w:rFonts w:cs="Arial"/>
          <w:color w:val="000000"/>
          <w:sz w:val="21"/>
          <w:szCs w:val="21"/>
        </w:rPr>
      </w:pPr>
      <w:r w:rsidRPr="00D621BB">
        <w:rPr>
          <w:rFonts w:cs="Arial"/>
          <w:color w:val="000000"/>
          <w:sz w:val="21"/>
          <w:szCs w:val="21"/>
        </w:rPr>
        <w:t>Broadly applied immunity for environmental violations undercuts the effectiveness of penalties and fines as a deterrent to future violations (because the polluter can always avoid the penalty by “confessing”)</w:t>
      </w:r>
      <w:r w:rsidR="00C46ACC">
        <w:rPr>
          <w:rFonts w:cs="Arial"/>
          <w:color w:val="000000"/>
          <w:sz w:val="21"/>
          <w:szCs w:val="21"/>
        </w:rPr>
        <w:t xml:space="preserve">. </w:t>
      </w:r>
      <w:r w:rsidRPr="00C46ACC">
        <w:rPr>
          <w:rFonts w:cs="Arial"/>
          <w:color w:val="000000"/>
          <w:sz w:val="21"/>
          <w:szCs w:val="21"/>
        </w:rPr>
        <w:t xml:space="preserve">Failure to enforce water quality laws pollutes our waters, harms the public and punishes </w:t>
      </w:r>
      <w:r w:rsidRPr="00C46ACC">
        <w:rPr>
          <w:rFonts w:cs="Arial"/>
          <w:b/>
          <w:bCs/>
          <w:color w:val="000000"/>
          <w:sz w:val="21"/>
          <w:szCs w:val="21"/>
        </w:rPr>
        <w:t xml:space="preserve">responsible </w:t>
      </w:r>
      <w:r w:rsidRPr="00C46ACC">
        <w:rPr>
          <w:rFonts w:cs="Arial"/>
          <w:color w:val="000000"/>
          <w:sz w:val="21"/>
          <w:szCs w:val="21"/>
        </w:rPr>
        <w:t>compa</w:t>
      </w:r>
      <w:r w:rsidR="00C46ACC">
        <w:rPr>
          <w:rFonts w:cs="Arial"/>
          <w:color w:val="000000"/>
          <w:sz w:val="21"/>
          <w:szCs w:val="21"/>
        </w:rPr>
        <w:t xml:space="preserve">nies that comply with the law.  As amended on the floor, </w:t>
      </w:r>
      <w:r w:rsidR="009877E3">
        <w:rPr>
          <w:rFonts w:cs="Arial"/>
          <w:color w:val="000000"/>
          <w:sz w:val="21"/>
          <w:szCs w:val="21"/>
        </w:rPr>
        <w:t xml:space="preserve">exempts coal ash and </w:t>
      </w:r>
      <w:r w:rsidR="00C46ACC">
        <w:rPr>
          <w:rFonts w:cs="Arial"/>
          <w:bCs/>
          <w:color w:val="000000"/>
          <w:sz w:val="21"/>
          <w:szCs w:val="21"/>
        </w:rPr>
        <w:t>r</w:t>
      </w:r>
      <w:r w:rsidR="00C46ACC" w:rsidRPr="00C46ACC">
        <w:rPr>
          <w:rFonts w:cs="Arial"/>
          <w:bCs/>
          <w:color w:val="000000"/>
          <w:sz w:val="21"/>
          <w:szCs w:val="21"/>
        </w:rPr>
        <w:t>equires DENR to submit the self audit provision to the EPA and EPA to approve before becoming law.</w:t>
      </w:r>
    </w:p>
    <w:p w14:paraId="70C55FAF" w14:textId="790D11BD" w:rsidR="000A14BD" w:rsidRDefault="000A14BD" w:rsidP="00453656">
      <w:pPr>
        <w:rPr>
          <w:rFonts w:cs="Arial"/>
          <w:b/>
          <w:bCs/>
          <w:color w:val="000000"/>
          <w:sz w:val="21"/>
          <w:szCs w:val="21"/>
        </w:rPr>
      </w:pPr>
      <w:r>
        <w:rPr>
          <w:rFonts w:cs="Arial"/>
          <w:b/>
          <w:bCs/>
          <w:color w:val="000000"/>
          <w:sz w:val="21"/>
          <w:szCs w:val="21"/>
        </w:rPr>
        <w:t xml:space="preserve">Section 4.2: </w:t>
      </w:r>
      <w:r w:rsidRPr="000A14BD">
        <w:rPr>
          <w:rFonts w:cs="Arial"/>
          <w:b/>
          <w:bCs/>
          <w:color w:val="000000"/>
          <w:sz w:val="21"/>
          <w:szCs w:val="21"/>
        </w:rPr>
        <w:t>Repeal Recycling Requirements for Discarded Computer Equipment and Televisions</w:t>
      </w:r>
    </w:p>
    <w:p w14:paraId="799C84EE" w14:textId="486ED203" w:rsidR="000A14BD" w:rsidRDefault="000A14BD" w:rsidP="000A14BD">
      <w:pPr>
        <w:pStyle w:val="ListParagraph"/>
        <w:numPr>
          <w:ilvl w:val="0"/>
          <w:numId w:val="27"/>
        </w:numPr>
        <w:rPr>
          <w:rFonts w:cs="Arial"/>
          <w:bCs/>
          <w:color w:val="000000"/>
          <w:sz w:val="21"/>
          <w:szCs w:val="21"/>
        </w:rPr>
      </w:pPr>
      <w:r>
        <w:rPr>
          <w:rFonts w:cs="Arial"/>
          <w:bCs/>
          <w:color w:val="000000"/>
          <w:sz w:val="21"/>
          <w:szCs w:val="21"/>
        </w:rPr>
        <w:t>Currently, NC has an</w:t>
      </w:r>
      <w:r w:rsidRPr="000A14BD">
        <w:rPr>
          <w:rFonts w:cs="Arial"/>
          <w:bCs/>
          <w:color w:val="000000"/>
          <w:sz w:val="21"/>
          <w:szCs w:val="21"/>
        </w:rPr>
        <w:t xml:space="preserve"> electronics recycling program that is comprehensive, free and convenient. The local recycling programs are funded by fees on television and computer manufacturers. H 765 repeals that funding mechanism and would undermine progress the state has made to deal with a unique and growing waste stream.</w:t>
      </w:r>
    </w:p>
    <w:p w14:paraId="1674C91F" w14:textId="42DDEDD7" w:rsidR="000375BB" w:rsidRPr="00FC5F67" w:rsidRDefault="000375BB" w:rsidP="000375BB">
      <w:pPr>
        <w:rPr>
          <w:rFonts w:cs="Arial"/>
          <w:b/>
          <w:bCs/>
          <w:color w:val="000000"/>
          <w:sz w:val="21"/>
          <w:szCs w:val="21"/>
        </w:rPr>
      </w:pPr>
      <w:r w:rsidRPr="00FC5F67">
        <w:rPr>
          <w:rFonts w:cs="Arial"/>
          <w:b/>
          <w:bCs/>
          <w:color w:val="000000"/>
          <w:sz w:val="21"/>
          <w:szCs w:val="21"/>
        </w:rPr>
        <w:t>Section 4.3</w:t>
      </w:r>
      <w:r w:rsidR="00BB1A0B">
        <w:rPr>
          <w:rFonts w:cs="Arial"/>
          <w:b/>
          <w:bCs/>
          <w:color w:val="000000"/>
          <w:sz w:val="21"/>
          <w:szCs w:val="21"/>
        </w:rPr>
        <w:t>, 4.4 and 4.5</w:t>
      </w:r>
      <w:r w:rsidRPr="00FC5F67">
        <w:rPr>
          <w:rFonts w:cs="Arial"/>
          <w:b/>
          <w:bCs/>
          <w:color w:val="000000"/>
          <w:sz w:val="21"/>
          <w:szCs w:val="21"/>
        </w:rPr>
        <w:t xml:space="preserve">: Implementation and Enforcement of Federal </w:t>
      </w:r>
      <w:r w:rsidR="00BB1A0B">
        <w:rPr>
          <w:rFonts w:cs="Arial"/>
          <w:b/>
          <w:bCs/>
          <w:color w:val="000000"/>
          <w:sz w:val="21"/>
          <w:szCs w:val="21"/>
        </w:rPr>
        <w:t>Standards</w:t>
      </w:r>
    </w:p>
    <w:p w14:paraId="6335CAA6" w14:textId="4CA43F21" w:rsidR="000375BB" w:rsidRPr="00FC5F67" w:rsidRDefault="00BB1A0B" w:rsidP="000375BB">
      <w:pPr>
        <w:pStyle w:val="ListParagraph"/>
        <w:numPr>
          <w:ilvl w:val="0"/>
          <w:numId w:val="27"/>
        </w:numPr>
        <w:rPr>
          <w:rFonts w:cs="Arial"/>
          <w:bCs/>
          <w:sz w:val="21"/>
          <w:szCs w:val="21"/>
        </w:rPr>
      </w:pPr>
      <w:r>
        <w:rPr>
          <w:rFonts w:cs="Arial"/>
          <w:sz w:val="21"/>
          <w:szCs w:val="21"/>
          <w:shd w:val="clear" w:color="auto" w:fill="FFFFFF"/>
        </w:rPr>
        <w:t xml:space="preserve">Section 4.3 </w:t>
      </w:r>
      <w:r w:rsidR="00FC5F67" w:rsidRPr="00FC5F67">
        <w:rPr>
          <w:rStyle w:val="apple-converted-space"/>
          <w:rFonts w:cs="Arial"/>
          <w:sz w:val="21"/>
          <w:szCs w:val="21"/>
          <w:shd w:val="clear" w:color="auto" w:fill="FFFFFF"/>
        </w:rPr>
        <w:t xml:space="preserve">would prohibit the state from enforcing </w:t>
      </w:r>
      <w:r>
        <w:rPr>
          <w:rStyle w:val="apple-converted-space"/>
          <w:rFonts w:cs="Arial"/>
          <w:sz w:val="21"/>
          <w:szCs w:val="21"/>
          <w:shd w:val="clear" w:color="auto" w:fill="FFFFFF"/>
        </w:rPr>
        <w:t xml:space="preserve">new </w:t>
      </w:r>
      <w:r w:rsidR="00FC5F67" w:rsidRPr="00FC5F67">
        <w:rPr>
          <w:rStyle w:val="apple-converted-space"/>
          <w:rFonts w:cs="Arial"/>
          <w:sz w:val="21"/>
          <w:szCs w:val="21"/>
          <w:shd w:val="clear" w:color="auto" w:fill="FFFFFF"/>
        </w:rPr>
        <w:t>EPA rules</w:t>
      </w:r>
      <w:r>
        <w:rPr>
          <w:rStyle w:val="apple-converted-space"/>
          <w:rFonts w:cs="Arial"/>
          <w:sz w:val="21"/>
          <w:szCs w:val="21"/>
          <w:shd w:val="clear" w:color="auto" w:fill="FFFFFF"/>
        </w:rPr>
        <w:t xml:space="preserve"> regarding wood stoves. </w:t>
      </w:r>
      <w:r>
        <w:rPr>
          <w:rFonts w:cs="Arial"/>
          <w:bCs/>
          <w:sz w:val="21"/>
          <w:szCs w:val="21"/>
        </w:rPr>
        <w:t xml:space="preserve">Sections 4.4 and 4.5 would </w:t>
      </w:r>
      <w:r w:rsidRPr="00BB1A0B">
        <w:rPr>
          <w:rFonts w:cs="Arial"/>
          <w:bCs/>
          <w:sz w:val="21"/>
          <w:szCs w:val="21"/>
        </w:rPr>
        <w:t>ban automatic adoption of Federal Air Regulations addressing New Source Review, MACT, and HAPS.</w:t>
      </w:r>
    </w:p>
    <w:p w14:paraId="0847781B" w14:textId="77777777" w:rsidR="00453656" w:rsidRPr="00D621BB" w:rsidRDefault="00453656" w:rsidP="00453656">
      <w:pPr>
        <w:rPr>
          <w:rFonts w:cs="Times New Roman"/>
          <w:sz w:val="21"/>
          <w:szCs w:val="21"/>
        </w:rPr>
      </w:pPr>
      <w:r w:rsidRPr="00D621BB">
        <w:rPr>
          <w:rFonts w:cs="Arial"/>
          <w:b/>
          <w:bCs/>
          <w:color w:val="000000"/>
          <w:sz w:val="21"/>
          <w:szCs w:val="21"/>
        </w:rPr>
        <w:t>Section 4.7: Risk Remediation</w:t>
      </w:r>
    </w:p>
    <w:p w14:paraId="0491FD2C" w14:textId="0A766EA9" w:rsidR="009877E3" w:rsidRPr="009877E3" w:rsidRDefault="00024CDA" w:rsidP="009877E3">
      <w:pPr>
        <w:pStyle w:val="ListParagraph"/>
        <w:numPr>
          <w:ilvl w:val="0"/>
          <w:numId w:val="26"/>
        </w:numPr>
        <w:rPr>
          <w:rFonts w:cs="Arial"/>
          <w:color w:val="000000"/>
          <w:sz w:val="21"/>
          <w:szCs w:val="21"/>
          <w:shd w:val="clear" w:color="auto" w:fill="FFFFFF"/>
        </w:rPr>
      </w:pPr>
      <w:r>
        <w:rPr>
          <w:rFonts w:cs="Arial"/>
          <w:color w:val="000000"/>
          <w:sz w:val="21"/>
          <w:szCs w:val="21"/>
          <w:shd w:val="clear" w:color="auto" w:fill="FFFFFF"/>
        </w:rPr>
        <w:t>This section s</w:t>
      </w:r>
      <w:r w:rsidR="009877E3" w:rsidRPr="009877E3">
        <w:rPr>
          <w:rFonts w:cs="Arial"/>
          <w:color w:val="000000"/>
          <w:sz w:val="21"/>
          <w:szCs w:val="21"/>
          <w:shd w:val="clear" w:color="auto" w:fill="FFFFFF"/>
        </w:rPr>
        <w:t>ignificantly expands a state program that currently allows incomplete cleanup of soi</w:t>
      </w:r>
      <w:r w:rsidR="009877E3">
        <w:rPr>
          <w:rFonts w:cs="Arial"/>
          <w:color w:val="000000"/>
          <w:sz w:val="21"/>
          <w:szCs w:val="21"/>
          <w:shd w:val="clear" w:color="auto" w:fill="FFFFFF"/>
        </w:rPr>
        <w:t xml:space="preserve">l and groundwater contamination. </w:t>
      </w:r>
      <w:r w:rsidR="009877E3" w:rsidRPr="009877E3">
        <w:rPr>
          <w:rFonts w:cs="Arial"/>
          <w:color w:val="000000"/>
          <w:sz w:val="21"/>
          <w:szCs w:val="21"/>
          <w:shd w:val="clear" w:color="auto" w:fill="FFFFFF"/>
        </w:rPr>
        <w:t>As expanded, the program will cover virtually all sources of contamination, past, present and future, and will sharply reduce final protections for neighbors, communities, and the environment at most of those sites.</w:t>
      </w:r>
    </w:p>
    <w:p w14:paraId="55C89292" w14:textId="77777777" w:rsidR="00453656" w:rsidRPr="00D621BB" w:rsidRDefault="00453656" w:rsidP="00453656">
      <w:pPr>
        <w:rPr>
          <w:rFonts w:cs="Times New Roman"/>
          <w:sz w:val="21"/>
          <w:szCs w:val="21"/>
        </w:rPr>
      </w:pPr>
      <w:r w:rsidRPr="00D621BB">
        <w:rPr>
          <w:rFonts w:cs="Arial"/>
          <w:b/>
          <w:bCs/>
          <w:color w:val="000000"/>
          <w:sz w:val="21"/>
          <w:szCs w:val="21"/>
        </w:rPr>
        <w:t>Section 4.9: Brownfields</w:t>
      </w:r>
    </w:p>
    <w:p w14:paraId="3F8AA2CA" w14:textId="243E2792" w:rsidR="00D621BB" w:rsidRPr="009877E3" w:rsidRDefault="00024CDA" w:rsidP="00453656">
      <w:pPr>
        <w:numPr>
          <w:ilvl w:val="0"/>
          <w:numId w:val="16"/>
        </w:numPr>
        <w:textAlignment w:val="baseline"/>
        <w:rPr>
          <w:rFonts w:cs="Arial"/>
          <w:color w:val="000000"/>
          <w:sz w:val="21"/>
          <w:szCs w:val="21"/>
        </w:rPr>
      </w:pPr>
      <w:r>
        <w:rPr>
          <w:rFonts w:cs="Arial"/>
          <w:color w:val="000000"/>
          <w:sz w:val="21"/>
          <w:szCs w:val="21"/>
        </w:rPr>
        <w:t>This section would change</w:t>
      </w:r>
      <w:r w:rsidR="00453656" w:rsidRPr="00D621BB">
        <w:rPr>
          <w:rFonts w:cs="Arial"/>
          <w:color w:val="000000"/>
          <w:sz w:val="21"/>
          <w:szCs w:val="21"/>
        </w:rPr>
        <w:t xml:space="preserve"> the state Brownfields law to adopt some federal definitions from the Superfund law (CERCLA) in place of existing stat</w:t>
      </w:r>
      <w:bookmarkStart w:id="0" w:name="_GoBack"/>
      <w:bookmarkEnd w:id="0"/>
      <w:r w:rsidR="00453656" w:rsidRPr="00D621BB">
        <w:rPr>
          <w:rFonts w:cs="Arial"/>
          <w:color w:val="000000"/>
          <w:sz w:val="21"/>
          <w:szCs w:val="21"/>
        </w:rPr>
        <w:t xml:space="preserve">e definitions. The problem is that the federal and state definitions are used for different purposes. </w:t>
      </w:r>
      <w:r w:rsidR="009877E3">
        <w:rPr>
          <w:rFonts w:cs="Arial"/>
          <w:color w:val="000000"/>
          <w:sz w:val="21"/>
          <w:szCs w:val="21"/>
        </w:rPr>
        <w:t xml:space="preserve"> </w:t>
      </w:r>
      <w:r w:rsidR="009877E3" w:rsidRPr="009877E3">
        <w:rPr>
          <w:rFonts w:cs="Arial"/>
          <w:color w:val="000000"/>
          <w:sz w:val="21"/>
          <w:szCs w:val="21"/>
        </w:rPr>
        <w:t>T</w:t>
      </w:r>
      <w:r w:rsidR="00453656" w:rsidRPr="009877E3">
        <w:rPr>
          <w:rFonts w:cs="Arial"/>
          <w:color w:val="000000"/>
          <w:sz w:val="21"/>
          <w:szCs w:val="21"/>
        </w:rPr>
        <w:t xml:space="preserve">his change in our state definition might allow an owner </w:t>
      </w:r>
      <w:r w:rsidR="00453656" w:rsidRPr="009877E3">
        <w:rPr>
          <w:rFonts w:cs="Arial"/>
          <w:b/>
          <w:bCs/>
          <w:color w:val="000000"/>
          <w:sz w:val="21"/>
          <w:szCs w:val="21"/>
        </w:rPr>
        <w:t>who actually caused contamination</w:t>
      </w:r>
      <w:r w:rsidR="00453656" w:rsidRPr="009877E3">
        <w:rPr>
          <w:rFonts w:cs="Arial"/>
          <w:color w:val="000000"/>
          <w:sz w:val="21"/>
          <w:szCs w:val="21"/>
        </w:rPr>
        <w:t xml:space="preserve"> to get liability protection. </w:t>
      </w:r>
    </w:p>
    <w:p w14:paraId="2E2F1CF5" w14:textId="77777777" w:rsidR="00453656" w:rsidRPr="00D621BB" w:rsidRDefault="00453656" w:rsidP="00453656">
      <w:pPr>
        <w:rPr>
          <w:rFonts w:cs="Times New Roman"/>
          <w:sz w:val="21"/>
          <w:szCs w:val="21"/>
        </w:rPr>
      </w:pPr>
      <w:r w:rsidRPr="00D621BB">
        <w:rPr>
          <w:rFonts w:cs="Arial"/>
          <w:b/>
          <w:bCs/>
          <w:color w:val="000000"/>
          <w:sz w:val="21"/>
          <w:szCs w:val="21"/>
        </w:rPr>
        <w:t>Section 4.14: Wastewater</w:t>
      </w:r>
    </w:p>
    <w:p w14:paraId="38B193D9" w14:textId="2B9A10A8" w:rsidR="00453656" w:rsidRPr="009877E3" w:rsidRDefault="00024CDA" w:rsidP="00453656">
      <w:pPr>
        <w:numPr>
          <w:ilvl w:val="0"/>
          <w:numId w:val="17"/>
        </w:numPr>
        <w:textAlignment w:val="baseline"/>
        <w:rPr>
          <w:rFonts w:cs="Arial"/>
          <w:color w:val="000000"/>
          <w:sz w:val="21"/>
          <w:szCs w:val="21"/>
        </w:rPr>
      </w:pPr>
      <w:r>
        <w:rPr>
          <w:rFonts w:cs="Arial"/>
          <w:color w:val="000000"/>
          <w:sz w:val="21"/>
          <w:szCs w:val="21"/>
        </w:rPr>
        <w:t>This section w</w:t>
      </w:r>
      <w:r w:rsidR="00453656" w:rsidRPr="00D621BB">
        <w:rPr>
          <w:rFonts w:cs="Arial"/>
          <w:color w:val="000000"/>
          <w:sz w:val="21"/>
          <w:szCs w:val="21"/>
        </w:rPr>
        <w:t xml:space="preserve">ould allow engineers to essentially self-permit onsite wastewater systems. These are wastewater systems, such as septic systems, currently permitted by local health departments. </w:t>
      </w:r>
      <w:r w:rsidR="009877E3">
        <w:rPr>
          <w:rFonts w:cs="Arial"/>
          <w:color w:val="000000"/>
          <w:sz w:val="21"/>
          <w:szCs w:val="21"/>
        </w:rPr>
        <w:t>T</w:t>
      </w:r>
      <w:r w:rsidR="00453656" w:rsidRPr="00D621BB">
        <w:rPr>
          <w:rFonts w:cs="Arial"/>
          <w:color w:val="000000"/>
          <w:sz w:val="21"/>
          <w:szCs w:val="21"/>
        </w:rPr>
        <w:t>his bill would make the property owner’s engineer completely responsible for both design and installation of the system.</w:t>
      </w:r>
    </w:p>
    <w:p w14:paraId="662266D3" w14:textId="77777777" w:rsidR="00453656" w:rsidRPr="00D621BB" w:rsidRDefault="00453656" w:rsidP="00453656">
      <w:pPr>
        <w:rPr>
          <w:rFonts w:cs="Times New Roman"/>
          <w:sz w:val="21"/>
          <w:szCs w:val="21"/>
        </w:rPr>
      </w:pPr>
      <w:r w:rsidRPr="00D621BB">
        <w:rPr>
          <w:rFonts w:cs="Arial"/>
          <w:b/>
          <w:bCs/>
          <w:color w:val="000000"/>
          <w:sz w:val="21"/>
          <w:szCs w:val="21"/>
        </w:rPr>
        <w:t xml:space="preserve">Section </w:t>
      </w:r>
      <w:proofErr w:type="gramStart"/>
      <w:r w:rsidRPr="00D621BB">
        <w:rPr>
          <w:rFonts w:cs="Arial"/>
          <w:b/>
          <w:bCs/>
          <w:color w:val="000000"/>
          <w:sz w:val="21"/>
          <w:szCs w:val="21"/>
        </w:rPr>
        <w:t>4.17  Contested</w:t>
      </w:r>
      <w:proofErr w:type="gramEnd"/>
      <w:r w:rsidRPr="00D621BB">
        <w:rPr>
          <w:rFonts w:cs="Arial"/>
          <w:b/>
          <w:bCs/>
          <w:color w:val="000000"/>
          <w:sz w:val="21"/>
          <w:szCs w:val="21"/>
        </w:rPr>
        <w:t xml:space="preserve"> Cases for Air Permits </w:t>
      </w:r>
    </w:p>
    <w:p w14:paraId="45645611" w14:textId="52DCE5FE" w:rsidR="00453656" w:rsidRPr="009877E3" w:rsidRDefault="00453656" w:rsidP="00453656">
      <w:pPr>
        <w:numPr>
          <w:ilvl w:val="0"/>
          <w:numId w:val="18"/>
        </w:numPr>
        <w:textAlignment w:val="baseline"/>
        <w:rPr>
          <w:rFonts w:cs="Times New Roman"/>
          <w:b/>
          <w:bCs/>
          <w:color w:val="000000"/>
          <w:sz w:val="21"/>
          <w:szCs w:val="21"/>
        </w:rPr>
      </w:pPr>
      <w:r w:rsidRPr="00D621BB">
        <w:rPr>
          <w:rFonts w:cs="Arial"/>
          <w:color w:val="000000"/>
          <w:sz w:val="21"/>
          <w:szCs w:val="21"/>
        </w:rPr>
        <w:t xml:space="preserve">This section </w:t>
      </w:r>
      <w:r w:rsidR="009877E3" w:rsidRPr="00D621BB">
        <w:rPr>
          <w:rFonts w:cs="Arial"/>
          <w:color w:val="000000"/>
          <w:sz w:val="21"/>
          <w:szCs w:val="21"/>
        </w:rPr>
        <w:t>effectively eliminates the rights of third p</w:t>
      </w:r>
      <w:r w:rsidR="009877E3">
        <w:rPr>
          <w:rFonts w:cs="Arial"/>
          <w:color w:val="000000"/>
          <w:sz w:val="21"/>
          <w:szCs w:val="21"/>
        </w:rPr>
        <w:t>arties to challenge air permits by</w:t>
      </w:r>
      <w:r w:rsidR="001070D9">
        <w:rPr>
          <w:rFonts w:cs="Arial"/>
          <w:color w:val="000000"/>
          <w:sz w:val="21"/>
          <w:szCs w:val="21"/>
        </w:rPr>
        <w:t xml:space="preserve"> providing</w:t>
      </w:r>
      <w:r w:rsidRPr="00D621BB">
        <w:rPr>
          <w:rFonts w:cs="Arial"/>
          <w:color w:val="000000"/>
          <w:sz w:val="21"/>
          <w:szCs w:val="21"/>
        </w:rPr>
        <w:t xml:space="preserve"> that the filing for a contested case by a permit applicant or permittee would stay the EMC's decision while the filing for a contested case by a person who is not the permit applicant </w:t>
      </w:r>
      <w:r w:rsidR="00AD7A3D">
        <w:rPr>
          <w:rFonts w:cs="Arial"/>
          <w:color w:val="000000"/>
          <w:sz w:val="21"/>
          <w:szCs w:val="21"/>
        </w:rPr>
        <w:t>would not</w:t>
      </w:r>
      <w:r w:rsidRPr="00D621BB">
        <w:rPr>
          <w:rFonts w:cs="Arial"/>
          <w:color w:val="000000"/>
          <w:sz w:val="21"/>
          <w:szCs w:val="21"/>
        </w:rPr>
        <w:t>.</w:t>
      </w:r>
      <w:r w:rsidRPr="00D621BB">
        <w:rPr>
          <w:rFonts w:cs="Times New Roman"/>
          <w:b/>
          <w:bCs/>
          <w:color w:val="000000"/>
          <w:sz w:val="21"/>
          <w:szCs w:val="21"/>
        </w:rPr>
        <w:t xml:space="preserve"> </w:t>
      </w:r>
      <w:r w:rsidR="00AD7A3D">
        <w:rPr>
          <w:rFonts w:cs="Arial"/>
          <w:color w:val="000000"/>
          <w:sz w:val="21"/>
          <w:szCs w:val="21"/>
        </w:rPr>
        <w:t>O</w:t>
      </w:r>
      <w:r w:rsidRPr="00D621BB">
        <w:rPr>
          <w:rFonts w:cs="Arial"/>
          <w:color w:val="000000"/>
          <w:sz w:val="21"/>
          <w:szCs w:val="21"/>
        </w:rPr>
        <w:t>nce permit has issued and been implemented, it would be highly unlikely for a court to alter the permit.  </w:t>
      </w:r>
    </w:p>
    <w:p w14:paraId="3546922F" w14:textId="77777777" w:rsidR="00453656" w:rsidRPr="00D621BB" w:rsidRDefault="00453656" w:rsidP="00453656">
      <w:pPr>
        <w:rPr>
          <w:rFonts w:cs="Times New Roman"/>
          <w:sz w:val="21"/>
          <w:szCs w:val="21"/>
        </w:rPr>
      </w:pPr>
      <w:r w:rsidRPr="00D621BB">
        <w:rPr>
          <w:rFonts w:cs="Arial"/>
          <w:b/>
          <w:bCs/>
          <w:color w:val="000000"/>
          <w:sz w:val="21"/>
          <w:szCs w:val="21"/>
        </w:rPr>
        <w:t>Section 4.18: Isolated Wetlands</w:t>
      </w:r>
    </w:p>
    <w:p w14:paraId="63FBF038" w14:textId="73E97C2E" w:rsidR="00D621BB" w:rsidRPr="009877E3" w:rsidRDefault="00453656" w:rsidP="00453656">
      <w:pPr>
        <w:numPr>
          <w:ilvl w:val="0"/>
          <w:numId w:val="19"/>
        </w:numPr>
        <w:textAlignment w:val="baseline"/>
        <w:rPr>
          <w:rFonts w:cs="Arial"/>
          <w:color w:val="000000"/>
          <w:sz w:val="21"/>
          <w:szCs w:val="21"/>
        </w:rPr>
      </w:pPr>
      <w:r w:rsidRPr="00D621BB">
        <w:rPr>
          <w:rFonts w:cs="Arial"/>
          <w:color w:val="000000"/>
          <w:sz w:val="21"/>
          <w:szCs w:val="21"/>
        </w:rPr>
        <w:t xml:space="preserve">This section limits the ability of DENR to protect the state’s water quality and reduce flooding by </w:t>
      </w:r>
      <w:r w:rsidR="009877E3">
        <w:rPr>
          <w:rFonts w:cs="Arial"/>
          <w:color w:val="000000"/>
          <w:sz w:val="21"/>
          <w:szCs w:val="21"/>
        </w:rPr>
        <w:t xml:space="preserve">severely </w:t>
      </w:r>
      <w:r w:rsidRPr="00D621BB">
        <w:rPr>
          <w:rFonts w:cs="Arial"/>
          <w:color w:val="000000"/>
          <w:sz w:val="21"/>
          <w:szCs w:val="21"/>
        </w:rPr>
        <w:t>limiting the sc</w:t>
      </w:r>
      <w:r w:rsidR="009877E3">
        <w:rPr>
          <w:rFonts w:cs="Arial"/>
          <w:color w:val="000000"/>
          <w:sz w:val="21"/>
          <w:szCs w:val="21"/>
        </w:rPr>
        <w:t>ope of state regulated wetlands.</w:t>
      </w:r>
    </w:p>
    <w:p w14:paraId="4E2084A6" w14:textId="77777777" w:rsidR="00453656" w:rsidRPr="00D621BB" w:rsidRDefault="00453656" w:rsidP="00453656">
      <w:pPr>
        <w:rPr>
          <w:rFonts w:cs="Times New Roman"/>
          <w:sz w:val="21"/>
          <w:szCs w:val="21"/>
        </w:rPr>
      </w:pPr>
      <w:r w:rsidRPr="00D621BB">
        <w:rPr>
          <w:rFonts w:cs="Arial"/>
          <w:b/>
          <w:bCs/>
          <w:color w:val="000000"/>
          <w:sz w:val="21"/>
          <w:szCs w:val="21"/>
        </w:rPr>
        <w:t xml:space="preserve">Section 4.19: Coastal </w:t>
      </w:r>
      <w:proofErr w:type="spellStart"/>
      <w:r w:rsidRPr="00D621BB">
        <w:rPr>
          <w:rFonts w:cs="Arial"/>
          <w:b/>
          <w:bCs/>
          <w:color w:val="000000"/>
          <w:sz w:val="21"/>
          <w:szCs w:val="21"/>
        </w:rPr>
        <w:t>Stormwater</w:t>
      </w:r>
      <w:proofErr w:type="spellEnd"/>
      <w:r w:rsidRPr="00D621BB">
        <w:rPr>
          <w:rFonts w:cs="Arial"/>
          <w:b/>
          <w:bCs/>
          <w:color w:val="000000"/>
          <w:sz w:val="21"/>
          <w:szCs w:val="21"/>
        </w:rPr>
        <w:t xml:space="preserve"> Requirements</w:t>
      </w:r>
    </w:p>
    <w:p w14:paraId="49873856" w14:textId="28C4E95E" w:rsidR="00453656" w:rsidRPr="00024CDA" w:rsidRDefault="00453656" w:rsidP="00453656">
      <w:pPr>
        <w:numPr>
          <w:ilvl w:val="0"/>
          <w:numId w:val="20"/>
        </w:numPr>
        <w:textAlignment w:val="baseline"/>
        <w:rPr>
          <w:rFonts w:cs="Arial"/>
          <w:color w:val="000000"/>
          <w:sz w:val="21"/>
          <w:szCs w:val="21"/>
        </w:rPr>
      </w:pPr>
      <w:r w:rsidRPr="00D621BB">
        <w:rPr>
          <w:rFonts w:cs="Arial"/>
          <w:color w:val="000000"/>
          <w:sz w:val="21"/>
          <w:szCs w:val="21"/>
        </w:rPr>
        <w:t xml:space="preserve">This section would allow more development to be considered “low density” under the coastal </w:t>
      </w:r>
      <w:proofErr w:type="spellStart"/>
      <w:r w:rsidRPr="00D621BB">
        <w:rPr>
          <w:rFonts w:cs="Arial"/>
          <w:color w:val="000000"/>
          <w:sz w:val="21"/>
          <w:szCs w:val="21"/>
        </w:rPr>
        <w:t>stormwater</w:t>
      </w:r>
      <w:proofErr w:type="spellEnd"/>
      <w:r w:rsidRPr="00D621BB">
        <w:rPr>
          <w:rFonts w:cs="Arial"/>
          <w:color w:val="000000"/>
          <w:sz w:val="21"/>
          <w:szCs w:val="21"/>
        </w:rPr>
        <w:t xml:space="preserve"> rules, </w:t>
      </w:r>
      <w:r w:rsidR="00024CDA">
        <w:rPr>
          <w:rFonts w:cs="Arial"/>
          <w:color w:val="000000"/>
          <w:sz w:val="21"/>
          <w:szCs w:val="21"/>
        </w:rPr>
        <w:t>and would</w:t>
      </w:r>
      <w:r w:rsidRPr="00D621BB">
        <w:rPr>
          <w:rFonts w:cs="Arial"/>
          <w:color w:val="000000"/>
          <w:sz w:val="21"/>
          <w:szCs w:val="21"/>
        </w:rPr>
        <w:t xml:space="preserve"> eliminate one of the current triggers for requiring non-residential development to comply with the coastal </w:t>
      </w:r>
      <w:proofErr w:type="spellStart"/>
      <w:r w:rsidRPr="00D621BB">
        <w:rPr>
          <w:rFonts w:cs="Arial"/>
          <w:color w:val="000000"/>
          <w:sz w:val="21"/>
          <w:szCs w:val="21"/>
        </w:rPr>
        <w:t>stormwater</w:t>
      </w:r>
      <w:proofErr w:type="spellEnd"/>
      <w:r w:rsidRPr="00D621BB">
        <w:rPr>
          <w:rFonts w:cs="Arial"/>
          <w:color w:val="000000"/>
          <w:sz w:val="21"/>
          <w:szCs w:val="21"/>
        </w:rPr>
        <w:t xml:space="preserve"> rules.</w:t>
      </w:r>
    </w:p>
    <w:p w14:paraId="638920EB" w14:textId="77777777" w:rsidR="00453656" w:rsidRPr="00D621BB" w:rsidRDefault="00453656" w:rsidP="00453656">
      <w:pPr>
        <w:rPr>
          <w:rFonts w:cs="Times New Roman"/>
          <w:sz w:val="21"/>
          <w:szCs w:val="21"/>
        </w:rPr>
      </w:pPr>
      <w:r w:rsidRPr="00D621BB">
        <w:rPr>
          <w:rFonts w:cs="Arial"/>
          <w:b/>
          <w:bCs/>
          <w:color w:val="000000"/>
          <w:sz w:val="21"/>
          <w:szCs w:val="21"/>
        </w:rPr>
        <w:t>Section 4.24: Idling Rules</w:t>
      </w:r>
    </w:p>
    <w:p w14:paraId="6426F616" w14:textId="5F5B677A" w:rsidR="00453656" w:rsidRPr="00024CDA" w:rsidRDefault="00453656" w:rsidP="00453656">
      <w:pPr>
        <w:numPr>
          <w:ilvl w:val="0"/>
          <w:numId w:val="22"/>
        </w:numPr>
        <w:textAlignment w:val="baseline"/>
        <w:rPr>
          <w:rFonts w:cs="Arial"/>
          <w:b/>
          <w:bCs/>
          <w:color w:val="000000"/>
          <w:sz w:val="21"/>
          <w:szCs w:val="21"/>
        </w:rPr>
      </w:pPr>
      <w:r w:rsidRPr="00D621BB">
        <w:rPr>
          <w:rFonts w:cs="Arial"/>
          <w:color w:val="000000"/>
          <w:sz w:val="21"/>
          <w:szCs w:val="21"/>
        </w:rPr>
        <w:t xml:space="preserve">This section would repeal </w:t>
      </w:r>
      <w:r w:rsidR="00D621BB" w:rsidRPr="00D621BB">
        <w:rPr>
          <w:rFonts w:cs="Arial"/>
          <w:color w:val="000000"/>
          <w:sz w:val="21"/>
          <w:szCs w:val="21"/>
        </w:rPr>
        <w:t>heavy-duty</w:t>
      </w:r>
      <w:r w:rsidRPr="00D621BB">
        <w:rPr>
          <w:rFonts w:cs="Arial"/>
          <w:color w:val="000000"/>
          <w:sz w:val="21"/>
          <w:szCs w:val="21"/>
        </w:rPr>
        <w:t xml:space="preserve"> vehicle idling </w:t>
      </w:r>
      <w:r w:rsidR="00D621BB" w:rsidRPr="00D621BB">
        <w:rPr>
          <w:rFonts w:cs="Arial"/>
          <w:color w:val="000000"/>
          <w:sz w:val="21"/>
          <w:szCs w:val="21"/>
        </w:rPr>
        <w:t>restrictions, which</w:t>
      </w:r>
      <w:r w:rsidRPr="00D621BB">
        <w:rPr>
          <w:rFonts w:cs="Arial"/>
          <w:color w:val="000000"/>
          <w:sz w:val="21"/>
          <w:szCs w:val="21"/>
        </w:rPr>
        <w:t xml:space="preserve"> will be extremely detrimental to air quality</w:t>
      </w:r>
      <w:r w:rsidRPr="00D621BB">
        <w:rPr>
          <w:rFonts w:cs="Arial"/>
          <w:b/>
          <w:bCs/>
          <w:color w:val="000000"/>
          <w:sz w:val="21"/>
          <w:szCs w:val="21"/>
        </w:rPr>
        <w:t xml:space="preserve">. </w:t>
      </w:r>
    </w:p>
    <w:p w14:paraId="45BB8D0C" w14:textId="77777777" w:rsidR="00453656" w:rsidRPr="00D621BB" w:rsidRDefault="00453656" w:rsidP="00453656">
      <w:pPr>
        <w:rPr>
          <w:rFonts w:cs="Times New Roman"/>
          <w:sz w:val="21"/>
          <w:szCs w:val="21"/>
        </w:rPr>
      </w:pPr>
      <w:r w:rsidRPr="00D621BB">
        <w:rPr>
          <w:rFonts w:cs="Arial"/>
          <w:b/>
          <w:bCs/>
          <w:color w:val="000000"/>
          <w:sz w:val="21"/>
          <w:szCs w:val="21"/>
        </w:rPr>
        <w:t>Section 4.25: Air Monitors</w:t>
      </w:r>
    </w:p>
    <w:p w14:paraId="6C0EBFB3" w14:textId="51D82E0F" w:rsidR="00453656" w:rsidRPr="00814E24" w:rsidRDefault="00453656" w:rsidP="00814E24">
      <w:pPr>
        <w:numPr>
          <w:ilvl w:val="0"/>
          <w:numId w:val="23"/>
        </w:numPr>
        <w:textAlignment w:val="baseline"/>
        <w:rPr>
          <w:rFonts w:cs="Arial"/>
          <w:color w:val="000000"/>
          <w:sz w:val="21"/>
          <w:szCs w:val="21"/>
        </w:rPr>
      </w:pPr>
      <w:r w:rsidRPr="00D621BB">
        <w:rPr>
          <w:rFonts w:cs="Arial"/>
          <w:color w:val="000000"/>
          <w:sz w:val="21"/>
          <w:szCs w:val="21"/>
        </w:rPr>
        <w:t>The provision would significantly reduce the number of state monitors used to assess air quality.</w:t>
      </w:r>
      <w:r w:rsidR="00814E24">
        <w:rPr>
          <w:rFonts w:cs="Arial"/>
          <w:color w:val="000000"/>
          <w:sz w:val="21"/>
          <w:szCs w:val="21"/>
        </w:rPr>
        <w:t xml:space="preserve"> </w:t>
      </w:r>
      <w:r w:rsidRPr="00814E24">
        <w:rPr>
          <w:rFonts w:cs="Arial"/>
          <w:color w:val="000000"/>
          <w:sz w:val="21"/>
          <w:szCs w:val="21"/>
        </w:rPr>
        <w:t xml:space="preserve">Without these monitors, the public and the N.C. Division of Air Quality will be kept in the dark about increases in pollution, which is especially concerning since many of these monitors are located in areas with historically poor air quality. </w:t>
      </w:r>
    </w:p>
    <w:p w14:paraId="6B5CAEAF" w14:textId="14EC39D9" w:rsidR="009B1B1A" w:rsidRDefault="00892529" w:rsidP="009B1B1A">
      <w:pPr>
        <w:textAlignment w:val="baseline"/>
        <w:rPr>
          <w:rFonts w:cs="Arial"/>
          <w:b/>
          <w:color w:val="000000"/>
          <w:sz w:val="21"/>
          <w:szCs w:val="21"/>
        </w:rPr>
      </w:pPr>
      <w:r>
        <w:rPr>
          <w:rFonts w:cs="Arial"/>
          <w:b/>
          <w:color w:val="000000"/>
          <w:sz w:val="21"/>
          <w:szCs w:val="21"/>
        </w:rPr>
        <w:t>Section 4.30</w:t>
      </w:r>
      <w:r w:rsidR="009B1B1A">
        <w:rPr>
          <w:rFonts w:cs="Arial"/>
          <w:b/>
          <w:color w:val="000000"/>
          <w:sz w:val="21"/>
          <w:szCs w:val="21"/>
        </w:rPr>
        <w:t>: Intermittent Streams</w:t>
      </w:r>
    </w:p>
    <w:p w14:paraId="16212164" w14:textId="2DDE849D" w:rsidR="0006412E" w:rsidRPr="00BB1A0B" w:rsidRDefault="00D30E38" w:rsidP="00024CDA">
      <w:pPr>
        <w:pStyle w:val="ListParagraph"/>
        <w:numPr>
          <w:ilvl w:val="0"/>
          <w:numId w:val="26"/>
        </w:numPr>
        <w:textAlignment w:val="baseline"/>
        <w:rPr>
          <w:rFonts w:cs="Arial"/>
          <w:color w:val="000000"/>
          <w:sz w:val="21"/>
          <w:szCs w:val="21"/>
        </w:rPr>
      </w:pPr>
      <w:r>
        <w:rPr>
          <w:rFonts w:cs="Arial"/>
          <w:color w:val="000000"/>
          <w:sz w:val="21"/>
          <w:szCs w:val="21"/>
        </w:rPr>
        <w:t xml:space="preserve">This section prohibits all mitigation for impacts to intermittent streams by development. </w:t>
      </w:r>
    </w:p>
    <w:sectPr w:rsidR="0006412E" w:rsidRPr="00BB1A0B" w:rsidSect="00D6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43"/>
    <w:multiLevelType w:val="multilevel"/>
    <w:tmpl w:val="74567E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A439F1"/>
    <w:multiLevelType w:val="hybridMultilevel"/>
    <w:tmpl w:val="1B9A3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61CBC"/>
    <w:multiLevelType w:val="multilevel"/>
    <w:tmpl w:val="0A6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4733F"/>
    <w:multiLevelType w:val="multilevel"/>
    <w:tmpl w:val="1DF8F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DB16EA7"/>
    <w:multiLevelType w:val="multilevel"/>
    <w:tmpl w:val="720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0295F"/>
    <w:multiLevelType w:val="multilevel"/>
    <w:tmpl w:val="B32E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47DCE"/>
    <w:multiLevelType w:val="multilevel"/>
    <w:tmpl w:val="54663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616423B"/>
    <w:multiLevelType w:val="multilevel"/>
    <w:tmpl w:val="49A6DD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6831D1D"/>
    <w:multiLevelType w:val="multilevel"/>
    <w:tmpl w:val="3BA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E6885"/>
    <w:multiLevelType w:val="multilevel"/>
    <w:tmpl w:val="F2B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40AEA"/>
    <w:multiLevelType w:val="multilevel"/>
    <w:tmpl w:val="E33AC3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47B0AF8"/>
    <w:multiLevelType w:val="multilevel"/>
    <w:tmpl w:val="F76A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90A83"/>
    <w:multiLevelType w:val="multilevel"/>
    <w:tmpl w:val="DEFCE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4FE42DF"/>
    <w:multiLevelType w:val="multilevel"/>
    <w:tmpl w:val="35A091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9E05F3"/>
    <w:multiLevelType w:val="multilevel"/>
    <w:tmpl w:val="C2E8CE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F986C92"/>
    <w:multiLevelType w:val="multilevel"/>
    <w:tmpl w:val="C08E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A04F4E"/>
    <w:multiLevelType w:val="multilevel"/>
    <w:tmpl w:val="37D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B6F25"/>
    <w:multiLevelType w:val="multilevel"/>
    <w:tmpl w:val="570C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114FF"/>
    <w:multiLevelType w:val="multilevel"/>
    <w:tmpl w:val="6764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D1A1E"/>
    <w:multiLevelType w:val="multilevel"/>
    <w:tmpl w:val="408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D62D1"/>
    <w:multiLevelType w:val="multilevel"/>
    <w:tmpl w:val="569A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D5E0E"/>
    <w:multiLevelType w:val="multilevel"/>
    <w:tmpl w:val="F67C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DD7EE1"/>
    <w:multiLevelType w:val="multilevel"/>
    <w:tmpl w:val="982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7085D"/>
    <w:multiLevelType w:val="multilevel"/>
    <w:tmpl w:val="25F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E11F80"/>
    <w:multiLevelType w:val="hybridMultilevel"/>
    <w:tmpl w:val="94587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361636"/>
    <w:multiLevelType w:val="multilevel"/>
    <w:tmpl w:val="789C9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D992BE5"/>
    <w:multiLevelType w:val="multilevel"/>
    <w:tmpl w:val="7724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17"/>
  </w:num>
  <w:num w:numId="4">
    <w:abstractNumId w:val="11"/>
  </w:num>
  <w:num w:numId="5">
    <w:abstractNumId w:val="21"/>
  </w:num>
  <w:num w:numId="6">
    <w:abstractNumId w:val="20"/>
  </w:num>
  <w:num w:numId="7">
    <w:abstractNumId w:val="4"/>
  </w:num>
  <w:num w:numId="8">
    <w:abstractNumId w:val="9"/>
  </w:num>
  <w:num w:numId="9">
    <w:abstractNumId w:val="19"/>
  </w:num>
  <w:num w:numId="10">
    <w:abstractNumId w:val="2"/>
  </w:num>
  <w:num w:numId="11">
    <w:abstractNumId w:val="22"/>
  </w:num>
  <w:num w:numId="12">
    <w:abstractNumId w:val="8"/>
  </w:num>
  <w:num w:numId="13">
    <w:abstractNumId w:val="3"/>
  </w:num>
  <w:num w:numId="14">
    <w:abstractNumId w:val="25"/>
  </w:num>
  <w:num w:numId="15">
    <w:abstractNumId w:val="18"/>
  </w:num>
  <w:num w:numId="16">
    <w:abstractNumId w:val="6"/>
  </w:num>
  <w:num w:numId="17">
    <w:abstractNumId w:val="14"/>
  </w:num>
  <w:num w:numId="18">
    <w:abstractNumId w:val="13"/>
  </w:num>
  <w:num w:numId="19">
    <w:abstractNumId w:val="7"/>
  </w:num>
  <w:num w:numId="20">
    <w:abstractNumId w:val="10"/>
  </w:num>
  <w:num w:numId="21">
    <w:abstractNumId w:val="15"/>
  </w:num>
  <w:num w:numId="22">
    <w:abstractNumId w:val="12"/>
  </w:num>
  <w:num w:numId="23">
    <w:abstractNumId w:val="0"/>
  </w:num>
  <w:num w:numId="24">
    <w:abstractNumId w:val="5"/>
  </w:num>
  <w:num w:numId="25">
    <w:abstractNumId w:val="23"/>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08"/>
    <w:rsid w:val="00024CDA"/>
    <w:rsid w:val="000375BB"/>
    <w:rsid w:val="0006412E"/>
    <w:rsid w:val="000A14BD"/>
    <w:rsid w:val="000E6AD7"/>
    <w:rsid w:val="001070D9"/>
    <w:rsid w:val="001427B1"/>
    <w:rsid w:val="001D0E75"/>
    <w:rsid w:val="00287DC5"/>
    <w:rsid w:val="00453656"/>
    <w:rsid w:val="004B7E2F"/>
    <w:rsid w:val="00814E24"/>
    <w:rsid w:val="00892529"/>
    <w:rsid w:val="00892DDB"/>
    <w:rsid w:val="009877E3"/>
    <w:rsid w:val="009B1B1A"/>
    <w:rsid w:val="00A70408"/>
    <w:rsid w:val="00AA6E21"/>
    <w:rsid w:val="00AD7A3D"/>
    <w:rsid w:val="00AF2C0C"/>
    <w:rsid w:val="00BB1A0B"/>
    <w:rsid w:val="00C25A0B"/>
    <w:rsid w:val="00C46ACC"/>
    <w:rsid w:val="00D30E38"/>
    <w:rsid w:val="00D621BB"/>
    <w:rsid w:val="00DD0C87"/>
    <w:rsid w:val="00FC5F67"/>
    <w:rsid w:val="00FF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EB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40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877E3"/>
    <w:pPr>
      <w:ind w:left="720"/>
      <w:contextualSpacing/>
    </w:pPr>
  </w:style>
  <w:style w:type="paragraph" w:customStyle="1" w:styleId="abase">
    <w:name w:val="abase"/>
    <w:basedOn w:val="Normal"/>
    <w:rsid w:val="000375BB"/>
    <w:pPr>
      <w:spacing w:before="100" w:beforeAutospacing="1" w:after="100" w:afterAutospacing="1"/>
    </w:pPr>
    <w:rPr>
      <w:rFonts w:ascii="Times New Roman" w:eastAsia="Times New Roman" w:hAnsi="Times New Roman" w:cs="Times New Roman"/>
    </w:rPr>
  </w:style>
  <w:style w:type="paragraph" w:customStyle="1" w:styleId="abillsection">
    <w:name w:val="abillsection"/>
    <w:basedOn w:val="Normal"/>
    <w:rsid w:val="000375BB"/>
    <w:pPr>
      <w:spacing w:before="100" w:beforeAutospacing="1" w:after="100" w:afterAutospacing="1"/>
    </w:pPr>
    <w:rPr>
      <w:rFonts w:ascii="Times New Roman" w:eastAsia="Times New Roman" w:hAnsi="Times New Roman" w:cs="Times New Roman"/>
    </w:rPr>
  </w:style>
  <w:style w:type="paragraph" w:customStyle="1" w:styleId="asection">
    <w:name w:val="asection"/>
    <w:basedOn w:val="Normal"/>
    <w:rsid w:val="000375BB"/>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375BB"/>
    <w:pPr>
      <w:spacing w:before="100" w:beforeAutospacing="1" w:after="100" w:afterAutospacing="1"/>
    </w:pPr>
    <w:rPr>
      <w:rFonts w:ascii="Times New Roman" w:eastAsia="Times New Roman" w:hAnsi="Times New Roman" w:cs="Times New Roman"/>
    </w:rPr>
  </w:style>
  <w:style w:type="paragraph" w:customStyle="1" w:styleId="ablock1">
    <w:name w:val="ablock1"/>
    <w:basedOn w:val="Normal"/>
    <w:rsid w:val="000375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40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877E3"/>
    <w:pPr>
      <w:ind w:left="720"/>
      <w:contextualSpacing/>
    </w:pPr>
  </w:style>
  <w:style w:type="paragraph" w:customStyle="1" w:styleId="abase">
    <w:name w:val="abase"/>
    <w:basedOn w:val="Normal"/>
    <w:rsid w:val="000375BB"/>
    <w:pPr>
      <w:spacing w:before="100" w:beforeAutospacing="1" w:after="100" w:afterAutospacing="1"/>
    </w:pPr>
    <w:rPr>
      <w:rFonts w:ascii="Times New Roman" w:eastAsia="Times New Roman" w:hAnsi="Times New Roman" w:cs="Times New Roman"/>
    </w:rPr>
  </w:style>
  <w:style w:type="paragraph" w:customStyle="1" w:styleId="abillsection">
    <w:name w:val="abillsection"/>
    <w:basedOn w:val="Normal"/>
    <w:rsid w:val="000375BB"/>
    <w:pPr>
      <w:spacing w:before="100" w:beforeAutospacing="1" w:after="100" w:afterAutospacing="1"/>
    </w:pPr>
    <w:rPr>
      <w:rFonts w:ascii="Times New Roman" w:eastAsia="Times New Roman" w:hAnsi="Times New Roman" w:cs="Times New Roman"/>
    </w:rPr>
  </w:style>
  <w:style w:type="paragraph" w:customStyle="1" w:styleId="asection">
    <w:name w:val="asection"/>
    <w:basedOn w:val="Normal"/>
    <w:rsid w:val="000375BB"/>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375BB"/>
    <w:pPr>
      <w:spacing w:before="100" w:beforeAutospacing="1" w:after="100" w:afterAutospacing="1"/>
    </w:pPr>
    <w:rPr>
      <w:rFonts w:ascii="Times New Roman" w:eastAsia="Times New Roman" w:hAnsi="Times New Roman" w:cs="Times New Roman"/>
    </w:rPr>
  </w:style>
  <w:style w:type="paragraph" w:customStyle="1" w:styleId="ablock1">
    <w:name w:val="ablock1"/>
    <w:basedOn w:val="Normal"/>
    <w:rsid w:val="000375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754">
      <w:bodyDiv w:val="1"/>
      <w:marLeft w:val="0"/>
      <w:marRight w:val="0"/>
      <w:marTop w:val="0"/>
      <w:marBottom w:val="0"/>
      <w:divBdr>
        <w:top w:val="none" w:sz="0" w:space="0" w:color="auto"/>
        <w:left w:val="none" w:sz="0" w:space="0" w:color="auto"/>
        <w:bottom w:val="none" w:sz="0" w:space="0" w:color="auto"/>
        <w:right w:val="none" w:sz="0" w:space="0" w:color="auto"/>
      </w:divBdr>
    </w:div>
    <w:div w:id="361443051">
      <w:bodyDiv w:val="1"/>
      <w:marLeft w:val="0"/>
      <w:marRight w:val="0"/>
      <w:marTop w:val="0"/>
      <w:marBottom w:val="0"/>
      <w:divBdr>
        <w:top w:val="none" w:sz="0" w:space="0" w:color="auto"/>
        <w:left w:val="none" w:sz="0" w:space="0" w:color="auto"/>
        <w:bottom w:val="none" w:sz="0" w:space="0" w:color="auto"/>
        <w:right w:val="none" w:sz="0" w:space="0" w:color="auto"/>
      </w:divBdr>
    </w:div>
    <w:div w:id="137279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740</Words>
  <Characters>4221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Pearson</dc:creator>
  <cp:keywords/>
  <dc:description/>
  <cp:lastModifiedBy>Jennie Daley</cp:lastModifiedBy>
  <cp:revision>4</cp:revision>
  <cp:lastPrinted>2015-07-13T12:59:00Z</cp:lastPrinted>
  <dcterms:created xsi:type="dcterms:W3CDTF">2015-07-13T13:10:00Z</dcterms:created>
  <dcterms:modified xsi:type="dcterms:W3CDTF">2015-07-13T19:49:00Z</dcterms:modified>
</cp:coreProperties>
</file>